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6738A85B" w:rsidR="00656EE7" w:rsidRPr="00B53A40" w:rsidRDefault="00344713" w:rsidP="00C22B29">
      <w:pPr>
        <w:spacing w:after="0"/>
        <w:contextualSpacing/>
        <w:rPr>
          <w:rFonts w:ascii="Arial" w:hAnsi="Arial" w:cs="Arial"/>
          <w:b/>
          <w:sz w:val="24"/>
          <w:szCs w:val="24"/>
          <w:lang w:val="en-US" w:eastAsia="zh-CN"/>
        </w:rPr>
      </w:pPr>
      <w:r w:rsidRPr="00B53A40">
        <w:rPr>
          <w:rFonts w:ascii="Arial" w:hAnsi="Arial" w:cs="Arial"/>
          <w:b/>
          <w:sz w:val="24"/>
          <w:szCs w:val="24"/>
          <w:lang w:val="en-US" w:eastAsia="zh-CN"/>
        </w:rPr>
        <w:t>3GPP TSG-RAN</w:t>
      </w:r>
      <w:r w:rsidR="00C22B29" w:rsidRPr="00B53A40">
        <w:rPr>
          <w:rFonts w:ascii="Arial" w:hAnsi="Arial" w:cs="Arial"/>
          <w:b/>
          <w:sz w:val="24"/>
          <w:szCs w:val="24"/>
          <w:lang w:val="en-US" w:eastAsia="zh-CN"/>
        </w:rPr>
        <w:t xml:space="preserve"> WG4 </w:t>
      </w:r>
      <w:r w:rsidRPr="00B53A40">
        <w:rPr>
          <w:rFonts w:ascii="Arial" w:hAnsi="Arial" w:cs="Arial"/>
          <w:b/>
          <w:sz w:val="24"/>
          <w:szCs w:val="24"/>
          <w:lang w:val="en-US" w:eastAsia="zh-CN"/>
        </w:rPr>
        <w:t>Meeting #</w:t>
      </w:r>
      <w:r w:rsidR="00C22B29" w:rsidRPr="00B53A40">
        <w:rPr>
          <w:rFonts w:ascii="Arial" w:hAnsi="Arial" w:cs="Arial"/>
          <w:b/>
          <w:sz w:val="24"/>
          <w:szCs w:val="24"/>
          <w:lang w:val="en-US" w:eastAsia="zh-CN"/>
        </w:rPr>
        <w:t>97</w:t>
      </w:r>
      <w:r w:rsidRPr="00B53A40">
        <w:rPr>
          <w:rFonts w:ascii="Arial" w:hAnsi="Arial" w:cs="Arial"/>
          <w:b/>
          <w:sz w:val="24"/>
          <w:szCs w:val="24"/>
          <w:lang w:val="en-US" w:eastAsia="zh-CN"/>
        </w:rPr>
        <w:t xml:space="preserve">e </w:t>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t xml:space="preserve">   </w:t>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Pr="004C2B54">
        <w:rPr>
          <w:rFonts w:ascii="Arial" w:hAnsi="Arial" w:cs="Arial"/>
          <w:b/>
          <w:sz w:val="24"/>
          <w:szCs w:val="24"/>
          <w:lang w:val="en-US" w:eastAsia="zh-CN"/>
        </w:rPr>
        <w:t>R</w:t>
      </w:r>
      <w:r w:rsidR="00C22B29" w:rsidRPr="004C2B54">
        <w:rPr>
          <w:rFonts w:ascii="Arial" w:hAnsi="Arial" w:cs="Arial"/>
          <w:b/>
          <w:sz w:val="24"/>
          <w:szCs w:val="24"/>
          <w:lang w:val="en-US" w:eastAsia="zh-CN"/>
        </w:rPr>
        <w:t>4</w:t>
      </w:r>
      <w:r w:rsidRPr="004C2B54">
        <w:rPr>
          <w:rFonts w:ascii="Arial" w:hAnsi="Arial" w:cs="Arial"/>
          <w:b/>
          <w:sz w:val="24"/>
          <w:szCs w:val="24"/>
          <w:lang w:val="en-US" w:eastAsia="zh-CN"/>
        </w:rPr>
        <w:t>-20</w:t>
      </w:r>
      <w:r w:rsidR="004C2B54">
        <w:rPr>
          <w:rFonts w:ascii="Arial" w:hAnsi="Arial" w:cs="Arial"/>
          <w:b/>
          <w:sz w:val="24"/>
          <w:szCs w:val="24"/>
          <w:lang w:val="en-US" w:eastAsia="zh-CN"/>
        </w:rPr>
        <w:t>15206</w:t>
      </w:r>
      <w:r w:rsidR="00C22B29" w:rsidRPr="00B53A40">
        <w:rPr>
          <w:rFonts w:ascii="Arial" w:hAnsi="Arial" w:cs="Arial"/>
          <w:b/>
          <w:sz w:val="24"/>
          <w:szCs w:val="24"/>
          <w:lang w:val="en-US" w:eastAsia="zh-CN"/>
        </w:rPr>
        <w:t xml:space="preserve"> </w:t>
      </w:r>
      <w:r w:rsidRPr="00B53A40">
        <w:rPr>
          <w:rFonts w:ascii="Arial" w:hAnsi="Arial" w:cs="Arial"/>
          <w:b/>
          <w:sz w:val="24"/>
          <w:szCs w:val="24"/>
          <w:lang w:val="en-US" w:eastAsia="zh-CN"/>
        </w:rPr>
        <w:t xml:space="preserve">Electronic Meeting, </w:t>
      </w:r>
      <w:r w:rsidR="00985912" w:rsidRPr="00B53A40">
        <w:rPr>
          <w:rFonts w:ascii="Arial" w:hAnsi="Arial" w:cs="Arial"/>
          <w:b/>
          <w:sz w:val="24"/>
          <w:szCs w:val="24"/>
          <w:lang w:val="en-US" w:eastAsia="zh-CN"/>
        </w:rPr>
        <w:t>November</w:t>
      </w:r>
      <w:r w:rsidRPr="00B53A40">
        <w:rPr>
          <w:rFonts w:ascii="Arial" w:hAnsi="Arial" w:cs="Arial"/>
          <w:b/>
          <w:sz w:val="24"/>
          <w:szCs w:val="24"/>
          <w:lang w:val="en-US" w:eastAsia="zh-CN"/>
        </w:rPr>
        <w:t xml:space="preserve"> </w:t>
      </w:r>
      <w:r w:rsidR="00985912" w:rsidRPr="00B53A40">
        <w:rPr>
          <w:rFonts w:ascii="Arial" w:hAnsi="Arial" w:cs="Arial"/>
          <w:b/>
          <w:sz w:val="24"/>
          <w:szCs w:val="24"/>
          <w:lang w:val="en-US" w:eastAsia="zh-CN"/>
        </w:rPr>
        <w:t xml:space="preserve">2 </w:t>
      </w:r>
      <w:r w:rsidRPr="00B53A40">
        <w:rPr>
          <w:rFonts w:ascii="Arial" w:hAnsi="Arial" w:cs="Arial"/>
          <w:b/>
          <w:sz w:val="24"/>
          <w:szCs w:val="24"/>
          <w:lang w:val="en-US" w:eastAsia="zh-CN"/>
        </w:rPr>
        <w:t>-</w:t>
      </w:r>
      <w:r w:rsidR="00985912" w:rsidRPr="00B53A40">
        <w:rPr>
          <w:rFonts w:ascii="Arial" w:hAnsi="Arial" w:cs="Arial"/>
          <w:b/>
          <w:sz w:val="24"/>
          <w:szCs w:val="24"/>
          <w:lang w:val="en-US" w:eastAsia="zh-CN"/>
        </w:rPr>
        <w:t xml:space="preserve"> </w:t>
      </w:r>
      <w:r w:rsidRPr="00B53A40">
        <w:rPr>
          <w:rFonts w:ascii="Arial" w:hAnsi="Arial" w:cs="Arial"/>
          <w:b/>
          <w:sz w:val="24"/>
          <w:szCs w:val="24"/>
          <w:lang w:val="en-US" w:eastAsia="zh-CN"/>
        </w:rPr>
        <w:t>1</w:t>
      </w:r>
      <w:r w:rsidR="00985912" w:rsidRPr="00B53A40">
        <w:rPr>
          <w:rFonts w:ascii="Arial" w:hAnsi="Arial" w:cs="Arial"/>
          <w:b/>
          <w:sz w:val="24"/>
          <w:szCs w:val="24"/>
          <w:lang w:val="en-US" w:eastAsia="zh-CN"/>
        </w:rPr>
        <w:t>3</w:t>
      </w:r>
      <w:r w:rsidRPr="00B53A40">
        <w:rPr>
          <w:rFonts w:ascii="Arial" w:hAnsi="Arial" w:cs="Arial"/>
          <w:b/>
          <w:sz w:val="24"/>
          <w:szCs w:val="24"/>
          <w:lang w:val="en-US" w:eastAsia="zh-CN"/>
        </w:rPr>
        <w:t>, 2020</w:t>
      </w:r>
    </w:p>
    <w:p w14:paraId="798321A4" w14:textId="77777777" w:rsidR="00656EE7" w:rsidRPr="00B53A40" w:rsidRDefault="00656EE7">
      <w:pPr>
        <w:spacing w:after="120"/>
        <w:ind w:left="1985" w:hanging="1985"/>
        <w:rPr>
          <w:rFonts w:ascii="Arial" w:eastAsia="MS Mincho" w:hAnsi="Arial" w:cs="Arial"/>
          <w:b/>
          <w:sz w:val="22"/>
          <w:lang w:val="en-US"/>
        </w:rPr>
      </w:pPr>
    </w:p>
    <w:p w14:paraId="36AE7F06" w14:textId="15C4943D" w:rsidR="00656EE7" w:rsidRPr="00B53A40"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B53A40">
        <w:rPr>
          <w:rFonts w:ascii="Arial" w:eastAsia="MS Mincho" w:hAnsi="Arial" w:cs="Arial"/>
          <w:b/>
          <w:color w:val="000000"/>
          <w:sz w:val="22"/>
          <w:lang w:val="en-US"/>
        </w:rPr>
        <w:t>Agenda item:</w:t>
      </w:r>
      <w:r w:rsidRPr="00B53A40">
        <w:rPr>
          <w:rFonts w:ascii="Arial" w:eastAsia="MS Mincho" w:hAnsi="Arial" w:cs="Arial"/>
          <w:b/>
          <w:color w:val="000000"/>
          <w:sz w:val="22"/>
          <w:lang w:val="en-US"/>
        </w:rPr>
        <w:tab/>
      </w:r>
      <w:r w:rsidRPr="00B53A40">
        <w:rPr>
          <w:rFonts w:ascii="Arial" w:eastAsia="MS Mincho" w:hAnsi="Arial" w:cs="Arial"/>
          <w:b/>
          <w:color w:val="000000"/>
          <w:sz w:val="22"/>
          <w:lang w:val="en-US" w:eastAsia="ja-JP"/>
        </w:rPr>
        <w:tab/>
      </w:r>
      <w:r w:rsidRPr="00B53A40">
        <w:rPr>
          <w:rFonts w:ascii="Arial" w:eastAsia="MS Mincho" w:hAnsi="Arial" w:cs="Arial"/>
          <w:b/>
          <w:color w:val="000000"/>
          <w:sz w:val="22"/>
          <w:lang w:val="en-US" w:eastAsia="ja-JP"/>
        </w:rPr>
        <w:tab/>
      </w:r>
      <w:r w:rsidR="00DA21D6">
        <w:rPr>
          <w:rFonts w:ascii="Arial" w:eastAsia="MS Mincho" w:hAnsi="Arial" w:cs="Arial"/>
          <w:bCs/>
          <w:color w:val="000000"/>
          <w:sz w:val="22"/>
          <w:lang w:val="en-US" w:eastAsia="ja-JP"/>
        </w:rPr>
        <w:t>13.2.1.1</w:t>
      </w:r>
    </w:p>
    <w:p w14:paraId="5F4BD920" w14:textId="669A6165" w:rsidR="00656EE7" w:rsidRPr="00B53A40" w:rsidRDefault="00344713">
      <w:pPr>
        <w:spacing w:after="120"/>
        <w:ind w:left="1985" w:hanging="1985"/>
        <w:rPr>
          <w:rFonts w:ascii="Arial" w:hAnsi="Arial" w:cs="Arial"/>
          <w:color w:val="000000"/>
          <w:sz w:val="22"/>
          <w:lang w:val="en-US" w:eastAsia="zh-CN"/>
        </w:rPr>
      </w:pPr>
      <w:r w:rsidRPr="00B53A40">
        <w:rPr>
          <w:rFonts w:ascii="Arial" w:eastAsia="MS Mincho" w:hAnsi="Arial" w:cs="Arial"/>
          <w:b/>
          <w:sz w:val="22"/>
          <w:lang w:val="en-US"/>
        </w:rPr>
        <w:t>Source:</w:t>
      </w:r>
      <w:r w:rsidRPr="00B53A40">
        <w:rPr>
          <w:rFonts w:ascii="Arial" w:eastAsia="MS Mincho" w:hAnsi="Arial" w:cs="Arial"/>
          <w:b/>
          <w:sz w:val="22"/>
          <w:lang w:val="en-US"/>
        </w:rPr>
        <w:tab/>
      </w:r>
      <w:r w:rsidR="00C22B29" w:rsidRPr="00B53A40">
        <w:rPr>
          <w:rFonts w:ascii="Arial" w:hAnsi="Arial" w:cs="Arial"/>
          <w:color w:val="000000"/>
          <w:sz w:val="22"/>
          <w:lang w:val="en-US" w:eastAsia="zh-CN"/>
        </w:rPr>
        <w:t>Nokia, Nokia Shanghai Bell</w:t>
      </w:r>
    </w:p>
    <w:p w14:paraId="7BD5998E" w14:textId="7111971C" w:rsidR="00656EE7" w:rsidRPr="00B53A40" w:rsidRDefault="00344713">
      <w:pPr>
        <w:spacing w:after="120"/>
        <w:ind w:left="1985" w:hanging="1985"/>
        <w:rPr>
          <w:rFonts w:ascii="Arial" w:hAnsi="Arial" w:cs="Arial"/>
          <w:color w:val="000000"/>
          <w:sz w:val="22"/>
          <w:lang w:val="en-US" w:eastAsia="zh-CN"/>
        </w:rPr>
      </w:pPr>
      <w:r w:rsidRPr="00B53A40">
        <w:rPr>
          <w:rFonts w:ascii="Arial" w:eastAsia="MS Mincho" w:hAnsi="Arial" w:cs="Arial"/>
          <w:b/>
          <w:color w:val="000000"/>
          <w:sz w:val="22"/>
          <w:lang w:val="en-US"/>
        </w:rPr>
        <w:t>Title:</w:t>
      </w:r>
      <w:r w:rsidRPr="00B53A40">
        <w:rPr>
          <w:rFonts w:ascii="Arial" w:eastAsia="MS Mincho" w:hAnsi="Arial" w:cs="Arial"/>
          <w:b/>
          <w:color w:val="000000"/>
          <w:sz w:val="22"/>
          <w:lang w:val="en-US"/>
        </w:rPr>
        <w:tab/>
      </w:r>
      <w:r w:rsidR="00504688" w:rsidRPr="00B53A40">
        <w:rPr>
          <w:rFonts w:ascii="Arial" w:hAnsi="Arial" w:cs="Arial"/>
          <w:color w:val="000000"/>
          <w:sz w:val="22"/>
          <w:lang w:val="en-US" w:eastAsia="zh-CN"/>
        </w:rPr>
        <w:t>Numerology and channel bandwidth discussion for NR beyond 52.6 GHz</w:t>
      </w:r>
    </w:p>
    <w:p w14:paraId="4C70E33B" w14:textId="433E9F04" w:rsidR="00656EE7" w:rsidRPr="00B53A40" w:rsidRDefault="00344713">
      <w:pPr>
        <w:spacing w:after="120"/>
        <w:ind w:left="1985" w:hanging="1985"/>
        <w:rPr>
          <w:rFonts w:ascii="Arial" w:hAnsi="Arial" w:cs="Arial"/>
          <w:sz w:val="22"/>
          <w:lang w:val="en-US" w:eastAsia="zh-CN"/>
        </w:rPr>
      </w:pPr>
      <w:r w:rsidRPr="00B53A40">
        <w:rPr>
          <w:rFonts w:ascii="Arial" w:eastAsia="MS Mincho" w:hAnsi="Arial" w:cs="Arial"/>
          <w:b/>
          <w:color w:val="000000"/>
          <w:sz w:val="22"/>
          <w:lang w:val="en-US"/>
        </w:rPr>
        <w:t>Document for:</w:t>
      </w:r>
      <w:r w:rsidRPr="00B53A40">
        <w:rPr>
          <w:rFonts w:ascii="Arial" w:eastAsia="MS Mincho" w:hAnsi="Arial" w:cs="Arial"/>
          <w:b/>
          <w:color w:val="000000"/>
          <w:sz w:val="22"/>
          <w:lang w:val="en-US"/>
        </w:rPr>
        <w:tab/>
      </w:r>
      <w:r w:rsidR="00C22B29" w:rsidRPr="00B53A40">
        <w:rPr>
          <w:rFonts w:ascii="Arial" w:hAnsi="Arial" w:cs="Arial"/>
          <w:color w:val="000000"/>
          <w:sz w:val="22"/>
          <w:lang w:val="en-US" w:eastAsia="zh-CN"/>
        </w:rPr>
        <w:t>Approval</w:t>
      </w:r>
    </w:p>
    <w:p w14:paraId="21CA3802" w14:textId="77777777" w:rsidR="00656EE7" w:rsidRPr="00B53A40" w:rsidRDefault="00344713" w:rsidP="00065A7B">
      <w:pPr>
        <w:pStyle w:val="Heading1"/>
        <w:rPr>
          <w:lang w:val="en-US" w:eastAsia="zh-CN"/>
        </w:rPr>
      </w:pPr>
      <w:r w:rsidRPr="00B53A40">
        <w:rPr>
          <w:lang w:val="en-US" w:eastAsia="ja-JP"/>
        </w:rPr>
        <w:t>Introduction</w:t>
      </w:r>
    </w:p>
    <w:p w14:paraId="29CC0571" w14:textId="422CCE98" w:rsidR="00E74969" w:rsidRPr="00B53A40" w:rsidRDefault="00E74969" w:rsidP="00E74969">
      <w:pPr>
        <w:rPr>
          <w:lang w:val="en-US"/>
        </w:rPr>
      </w:pPr>
      <w:r w:rsidRPr="00B53A40">
        <w:rPr>
          <w:lang w:val="en-US"/>
        </w:rPr>
        <w:t xml:space="preserve">The study item on supporting NR from 52.6 GHz to 71 GHz </w:t>
      </w:r>
      <w:r w:rsidRPr="00B53A40">
        <w:rPr>
          <w:lang w:val="en-US"/>
        </w:rPr>
        <w:fldChar w:fldCharType="begin"/>
      </w:r>
      <w:r w:rsidRPr="00B53A40">
        <w:rPr>
          <w:lang w:val="en-US"/>
        </w:rPr>
        <w:instrText xml:space="preserve"> REF _Ref31097917 \n \h  \* MERGEFORMAT </w:instrText>
      </w:r>
      <w:r w:rsidRPr="00B53A40">
        <w:rPr>
          <w:lang w:val="en-US"/>
        </w:rPr>
      </w:r>
      <w:r w:rsidRPr="00B53A40">
        <w:rPr>
          <w:lang w:val="en-US"/>
        </w:rPr>
        <w:fldChar w:fldCharType="separate"/>
      </w:r>
      <w:r w:rsidR="00A0307E">
        <w:rPr>
          <w:lang w:val="en-US"/>
        </w:rPr>
        <w:t>[1]</w:t>
      </w:r>
      <w:r w:rsidRPr="00B53A40">
        <w:rPr>
          <w:lang w:val="en-US"/>
        </w:rPr>
        <w:fldChar w:fldCharType="end"/>
      </w:r>
      <w:r w:rsidRPr="00B53A40">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B53A40">
        <w:rPr>
          <w:lang w:val="en-US"/>
        </w:rPr>
        <w:fldChar w:fldCharType="begin"/>
      </w:r>
      <w:r w:rsidRPr="00B53A40">
        <w:rPr>
          <w:lang w:val="en-US"/>
        </w:rPr>
        <w:instrText xml:space="preserve"> REF _Ref31097951 \n \h  \* MERGEFORMAT </w:instrText>
      </w:r>
      <w:r w:rsidRPr="00B53A40">
        <w:rPr>
          <w:lang w:val="en-US"/>
        </w:rPr>
      </w:r>
      <w:r w:rsidRPr="00B53A40">
        <w:rPr>
          <w:lang w:val="en-US"/>
        </w:rPr>
        <w:fldChar w:fldCharType="separate"/>
      </w:r>
      <w:r w:rsidR="00A0307E">
        <w:rPr>
          <w:lang w:val="en-US"/>
        </w:rPr>
        <w:t>[2]</w:t>
      </w:r>
      <w:r w:rsidRPr="00B53A40">
        <w:rPr>
          <w:lang w:val="en-US"/>
        </w:rPr>
        <w:fldChar w:fldCharType="end"/>
      </w:r>
      <w:r w:rsidRPr="00B53A40">
        <w:rPr>
          <w:lang w:val="en-US"/>
        </w:rPr>
        <w:t xml:space="preserve">. </w:t>
      </w:r>
    </w:p>
    <w:p w14:paraId="12F976AD" w14:textId="1BA6314E" w:rsidR="00E74969" w:rsidRPr="00B53A40" w:rsidRDefault="00E74969" w:rsidP="00E74969">
      <w:pPr>
        <w:rPr>
          <w:lang w:val="en-US"/>
        </w:rPr>
      </w:pPr>
      <w:r w:rsidRPr="00B53A40">
        <w:rPr>
          <w:lang w:val="en-US"/>
        </w:rPr>
        <w:t xml:space="preserve">This contribution deals with required changes to NR using existing DL/UL NR waveform to support operation between 52.6 GHz and 71 GHz. More specifically, we consider the following objectives of the approved study item: </w:t>
      </w:r>
    </w:p>
    <w:p w14:paraId="074A8E49" w14:textId="684504D9" w:rsidR="00E74969" w:rsidRPr="00B53A40" w:rsidRDefault="00E74969" w:rsidP="00E74969">
      <w:pPr>
        <w:pStyle w:val="ListParagraph"/>
        <w:numPr>
          <w:ilvl w:val="0"/>
          <w:numId w:val="18"/>
        </w:numPr>
        <w:overflowPunct/>
        <w:autoSpaceDE/>
        <w:autoSpaceDN/>
        <w:adjustRightInd/>
        <w:spacing w:after="0" w:line="259" w:lineRule="auto"/>
        <w:ind w:firstLineChars="0"/>
        <w:contextualSpacing/>
        <w:textAlignment w:val="auto"/>
        <w:rPr>
          <w:i/>
          <w:sz w:val="18"/>
          <w:lang w:val="en-US"/>
        </w:rPr>
      </w:pPr>
      <w:r w:rsidRPr="00B53A40">
        <w:rPr>
          <w:i/>
          <w:sz w:val="18"/>
          <w:lang w:val="en-US"/>
        </w:rPr>
        <w:t>Study of applicable numerology including subcarrier spacing, channel BW (including maximum BW), and their impact to FR2 physical layer design to support system functionality considering practical RF impairments [RAN1, RAN4].</w:t>
      </w:r>
    </w:p>
    <w:p w14:paraId="27A7A54E" w14:textId="74417229" w:rsidR="007B1131" w:rsidRPr="00B53A40" w:rsidRDefault="00F84D8E" w:rsidP="00F84D8E">
      <w:pPr>
        <w:pStyle w:val="Heading1"/>
        <w:rPr>
          <w:lang w:val="en-US" w:eastAsia="zh-CN"/>
        </w:rPr>
      </w:pPr>
      <w:r w:rsidRPr="00B53A40">
        <w:rPr>
          <w:lang w:val="en-US" w:eastAsia="zh-CN"/>
        </w:rPr>
        <w:t>Discussion</w:t>
      </w:r>
    </w:p>
    <w:p w14:paraId="2A56C66C" w14:textId="750E8169" w:rsidR="006B79DA" w:rsidRPr="007110AC" w:rsidRDefault="007110AC" w:rsidP="006B79DA">
      <w:pPr>
        <w:pStyle w:val="Heading2"/>
        <w:overflowPunct w:val="0"/>
        <w:autoSpaceDE w:val="0"/>
        <w:autoSpaceDN w:val="0"/>
        <w:adjustRightInd w:val="0"/>
        <w:textAlignment w:val="baseline"/>
        <w:rPr>
          <w:sz w:val="24"/>
        </w:rPr>
      </w:pPr>
      <w:r w:rsidRPr="007110AC">
        <w:rPr>
          <w:sz w:val="24"/>
          <w:lang w:val="en-US"/>
        </w:rPr>
        <w:t>Numerology</w:t>
      </w:r>
      <w:r w:rsidR="00570E7B">
        <w:rPr>
          <w:sz w:val="24"/>
        </w:rPr>
        <w:t xml:space="preserve">, </w:t>
      </w:r>
      <w:r>
        <w:rPr>
          <w:sz w:val="24"/>
        </w:rPr>
        <w:t>SCS</w:t>
      </w:r>
      <w:r w:rsidR="00570E7B">
        <w:rPr>
          <w:sz w:val="24"/>
        </w:rPr>
        <w:t xml:space="preserve"> </w:t>
      </w:r>
      <w:r w:rsidR="00570E7B" w:rsidRPr="00570E7B">
        <w:rPr>
          <w:sz w:val="24"/>
          <w:lang w:val="en-US"/>
        </w:rPr>
        <w:t>and deployment scenarios</w:t>
      </w:r>
    </w:p>
    <w:p w14:paraId="75347581" w14:textId="79FCA535" w:rsidR="00FF7A10" w:rsidRPr="00B53A40" w:rsidRDefault="00FF7A10" w:rsidP="00FF7A10">
      <w:pPr>
        <w:rPr>
          <w:lang w:val="en-US" w:eastAsia="zh-CN"/>
        </w:rPr>
      </w:pPr>
      <w:r w:rsidRPr="00B53A40">
        <w:rPr>
          <w:lang w:val="en-US" w:eastAsia="zh-CN"/>
        </w:rPr>
        <w:t>In RAN</w:t>
      </w:r>
      <w:r w:rsidR="00806C90">
        <w:rPr>
          <w:lang w:val="en-US" w:eastAsia="zh-CN"/>
        </w:rPr>
        <w:t>4</w:t>
      </w:r>
      <w:r w:rsidRPr="00B53A40">
        <w:rPr>
          <w:lang w:val="en-US" w:eastAsia="zh-CN"/>
        </w:rPr>
        <w:t xml:space="preserve"> #</w:t>
      </w:r>
      <w:r w:rsidR="00806C90">
        <w:rPr>
          <w:lang w:val="en-US" w:eastAsia="zh-CN"/>
        </w:rPr>
        <w:t>86</w:t>
      </w:r>
      <w:r w:rsidRPr="00B53A40">
        <w:rPr>
          <w:lang w:val="en-US" w:eastAsia="zh-CN"/>
        </w:rPr>
        <w:t>e meeting, the following agreements has been researched</w:t>
      </w:r>
      <w:r w:rsidR="00806C90">
        <w:rPr>
          <w:lang w:val="en-US" w:eastAsia="zh-CN"/>
        </w:rPr>
        <w:t xml:space="preserve"> </w:t>
      </w:r>
      <w:r w:rsidR="00806C90">
        <w:rPr>
          <w:lang w:val="en-US" w:eastAsia="zh-CN"/>
        </w:rPr>
        <w:fldChar w:fldCharType="begin"/>
      </w:r>
      <w:r w:rsidR="00806C90">
        <w:rPr>
          <w:lang w:val="en-US" w:eastAsia="zh-CN"/>
        </w:rPr>
        <w:instrText xml:space="preserve"> REF _Ref53500542 \r \h </w:instrText>
      </w:r>
      <w:r w:rsidR="00806C90">
        <w:rPr>
          <w:lang w:val="en-US" w:eastAsia="zh-CN"/>
        </w:rPr>
      </w:r>
      <w:r w:rsidR="00806C90">
        <w:rPr>
          <w:lang w:val="en-US" w:eastAsia="zh-CN"/>
        </w:rPr>
        <w:fldChar w:fldCharType="separate"/>
      </w:r>
      <w:r w:rsidR="00A0307E">
        <w:rPr>
          <w:lang w:val="en-US" w:eastAsia="zh-CN"/>
        </w:rPr>
        <w:t>[3]</w:t>
      </w:r>
      <w:r w:rsidR="00806C90">
        <w:rPr>
          <w:lang w:val="en-US" w:eastAsia="zh-CN"/>
        </w:rPr>
        <w:fldChar w:fldCharType="end"/>
      </w:r>
      <w:r w:rsidRPr="00B53A40">
        <w:rPr>
          <w:lang w:val="en-US" w:eastAsia="zh-CN"/>
        </w:rPr>
        <w:t>:</w:t>
      </w:r>
    </w:p>
    <w:p w14:paraId="788CD6D0" w14:textId="42AFC6D9" w:rsidR="00FF7A10" w:rsidRDefault="00806C90" w:rsidP="00FF7A10">
      <w:pPr>
        <w:numPr>
          <w:ilvl w:val="0"/>
          <w:numId w:val="15"/>
        </w:numPr>
        <w:spacing w:after="0"/>
        <w:rPr>
          <w:i/>
          <w:color w:val="0070C0"/>
          <w:lang w:val="en-US" w:eastAsia="x-none"/>
        </w:rPr>
      </w:pPr>
      <w:r>
        <w:rPr>
          <w:i/>
          <w:color w:val="0070C0"/>
          <w:lang w:val="en-US" w:eastAsia="x-none"/>
        </w:rPr>
        <w:t>Further evaluation on feasibility of SCS 120 kHz to 960 kHz, and FFS on 1920 kHz</w:t>
      </w:r>
      <w:r w:rsidR="00FF7A10" w:rsidRPr="000371F4">
        <w:rPr>
          <w:i/>
          <w:color w:val="0070C0"/>
          <w:lang w:val="en-US" w:eastAsia="x-none"/>
        </w:rPr>
        <w:t>;</w:t>
      </w:r>
    </w:p>
    <w:p w14:paraId="6C6C5A15" w14:textId="77777777" w:rsidR="00806C90" w:rsidRPr="000371F4" w:rsidRDefault="00806C90" w:rsidP="00806C90">
      <w:pPr>
        <w:spacing w:after="0"/>
        <w:rPr>
          <w:i/>
          <w:color w:val="0070C0"/>
          <w:lang w:val="en-US" w:eastAsia="x-none"/>
        </w:rPr>
      </w:pPr>
    </w:p>
    <w:p w14:paraId="787D3895" w14:textId="4E327351" w:rsidR="006B79DA" w:rsidRPr="006B79DA" w:rsidRDefault="006B79DA" w:rsidP="43D767B2">
      <w:pPr>
        <w:rPr>
          <w:lang w:val="en-US"/>
        </w:rPr>
      </w:pPr>
      <w:r w:rsidRPr="43D767B2">
        <w:rPr>
          <w:rFonts w:eastAsia="Batang"/>
          <w:lang w:val="en-US"/>
        </w:rPr>
        <w:t xml:space="preserve">SCS is key system parameter and tightly related to system features. Table 1 shows the candidate subcarrier spacing options for the </w:t>
      </w:r>
      <w:r w:rsidRPr="43D767B2">
        <w:rPr>
          <w:lang w:val="en-US"/>
        </w:rPr>
        <w:t xml:space="preserve">52.6 GHz to 71 GHz </w:t>
      </w:r>
      <w:r w:rsidRPr="43D767B2">
        <w:rPr>
          <w:rFonts w:eastAsia="Batang"/>
          <w:lang w:val="en-US"/>
        </w:rPr>
        <w:t xml:space="preserve">scenario. </w:t>
      </w:r>
      <w:r w:rsidRPr="00DA21D6">
        <w:rPr>
          <w:rFonts w:eastAsia="Batang"/>
          <w:lang w:val="en-US"/>
        </w:rPr>
        <w:t>Cases with µ&gt;6 are not considered anymore since they have had only limited support in 3GPP discussions.</w:t>
      </w:r>
    </w:p>
    <w:p w14:paraId="136C6362" w14:textId="3D7F4533" w:rsidR="00FF7A10" w:rsidRDefault="00FF7A10" w:rsidP="00FF7A10">
      <w:pPr>
        <w:pStyle w:val="Caption"/>
        <w:keepNext/>
        <w:jc w:val="center"/>
      </w:pPr>
      <w:r>
        <w:t xml:space="preserve">Table </w:t>
      </w:r>
      <w:r>
        <w:fldChar w:fldCharType="begin"/>
      </w:r>
      <w:r>
        <w:instrText xml:space="preserve"> SEQ Table \* ARABIC </w:instrText>
      </w:r>
      <w:r>
        <w:fldChar w:fldCharType="separate"/>
      </w:r>
      <w:r w:rsidR="00A0307E">
        <w:rPr>
          <w:noProof/>
        </w:rPr>
        <w:t>1</w:t>
      </w:r>
      <w:r>
        <w:fldChar w:fldCharType="end"/>
      </w:r>
      <w:r>
        <w:t xml:space="preserve">. </w:t>
      </w:r>
      <w:r w:rsidRPr="00913BA9">
        <w:t>Candidate numerologies for</w:t>
      </w:r>
      <w:r w:rsidRPr="000371F4">
        <w:rPr>
          <w:lang w:val="en-US"/>
        </w:rPr>
        <w:t xml:space="preserve"> data and control channels,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6B79DA" w:rsidRPr="004638D9" w14:paraId="3FCAD880" w14:textId="77777777" w:rsidTr="009B5C0C">
        <w:trPr>
          <w:jc w:val="center"/>
        </w:trPr>
        <w:tc>
          <w:tcPr>
            <w:tcW w:w="1129" w:type="dxa"/>
            <w:tcBorders>
              <w:top w:val="single" w:sz="4" w:space="0" w:color="auto"/>
              <w:left w:val="single" w:sz="4" w:space="0" w:color="auto"/>
              <w:bottom w:val="single" w:sz="4" w:space="0" w:color="auto"/>
              <w:right w:val="single" w:sz="4" w:space="0" w:color="auto"/>
            </w:tcBorders>
          </w:tcPr>
          <w:p w14:paraId="0901D6C9" w14:textId="77777777" w:rsidR="006B79DA" w:rsidRPr="004638D9" w:rsidRDefault="006B79DA" w:rsidP="009B5C0C">
            <w:pPr>
              <w:pStyle w:val="TAC"/>
              <w:rPr>
                <w:rFonts w:eastAsia="Batang"/>
              </w:rPr>
            </w:pPr>
            <w:r w:rsidRPr="004638D9">
              <w:rPr>
                <w:rFonts w:eastAsia="Batang"/>
              </w:rPr>
              <w:object w:dxaOrig="231" w:dyaOrig="266" w14:anchorId="1A39A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4" o:title=""/>
                </v:shape>
                <o:OLEObject Type="Embed" ProgID="Equation.3" ShapeID="_x0000_i1025" DrawAspect="Content" ObjectID="_1664968894" r:id="rId15"/>
              </w:object>
            </w:r>
          </w:p>
        </w:tc>
        <w:tc>
          <w:tcPr>
            <w:tcW w:w="1843" w:type="dxa"/>
            <w:tcBorders>
              <w:top w:val="single" w:sz="4" w:space="0" w:color="auto"/>
              <w:left w:val="single" w:sz="4" w:space="0" w:color="auto"/>
              <w:bottom w:val="single" w:sz="4" w:space="0" w:color="auto"/>
              <w:right w:val="single" w:sz="4" w:space="0" w:color="auto"/>
            </w:tcBorders>
          </w:tcPr>
          <w:p w14:paraId="26999AD6" w14:textId="77777777" w:rsidR="006B79DA" w:rsidRPr="004638D9" w:rsidRDefault="006B79DA" w:rsidP="009B5C0C">
            <w:pPr>
              <w:pStyle w:val="TAC"/>
              <w:rPr>
                <w:rFonts w:eastAsia="Batang"/>
              </w:rPr>
            </w:pPr>
            <w:r w:rsidRPr="004638D9">
              <w:rPr>
                <w:rFonts w:eastAsia="Batang"/>
              </w:rPr>
              <w:object w:dxaOrig="1500" w:dyaOrig="360" w14:anchorId="30A9ADCC">
                <v:shape id="_x0000_i1026" type="#_x0000_t75" style="width:79pt;height:18pt" o:ole="">
                  <v:imagedata r:id="rId16" o:title=""/>
                </v:shape>
                <o:OLEObject Type="Embed" ProgID="Equation.3" ShapeID="_x0000_i1026" DrawAspect="Content" ObjectID="_1664968895" r:id="rId17"/>
              </w:object>
            </w:r>
          </w:p>
        </w:tc>
        <w:tc>
          <w:tcPr>
            <w:tcW w:w="1843" w:type="dxa"/>
            <w:tcBorders>
              <w:top w:val="single" w:sz="4" w:space="0" w:color="auto"/>
              <w:left w:val="single" w:sz="4" w:space="0" w:color="auto"/>
              <w:bottom w:val="single" w:sz="4" w:space="0" w:color="auto"/>
              <w:right w:val="single" w:sz="4" w:space="0" w:color="auto"/>
            </w:tcBorders>
          </w:tcPr>
          <w:p w14:paraId="6DD5D7F6" w14:textId="77777777" w:rsidR="006B79DA" w:rsidRPr="004638D9" w:rsidRDefault="006B79DA" w:rsidP="009B5C0C">
            <w:pPr>
              <w:pStyle w:val="TAC"/>
              <w:jc w:val="left"/>
              <w:rPr>
                <w:rFonts w:eastAsia="Batang"/>
              </w:rPr>
            </w:pPr>
            <w:r w:rsidRPr="004638D9">
              <w:rPr>
                <w:rFonts w:eastAsia="Batang"/>
              </w:rPr>
              <w:t>Cyclic prefix</w:t>
            </w:r>
          </w:p>
        </w:tc>
      </w:tr>
      <w:tr w:rsidR="006B79DA" w:rsidRPr="00482EA2" w14:paraId="58B03A2A" w14:textId="77777777" w:rsidTr="009B5C0C">
        <w:trPr>
          <w:jc w:val="center"/>
        </w:trPr>
        <w:tc>
          <w:tcPr>
            <w:tcW w:w="1129" w:type="dxa"/>
            <w:tcBorders>
              <w:top w:val="single" w:sz="4" w:space="0" w:color="auto"/>
              <w:left w:val="single" w:sz="4" w:space="0" w:color="auto"/>
              <w:bottom w:val="single" w:sz="4" w:space="0" w:color="auto"/>
              <w:right w:val="single" w:sz="4" w:space="0" w:color="auto"/>
            </w:tcBorders>
          </w:tcPr>
          <w:p w14:paraId="63E08223" w14:textId="77777777" w:rsidR="006B79DA" w:rsidRPr="00482EA2" w:rsidRDefault="006B79DA" w:rsidP="009B5C0C">
            <w:pPr>
              <w:pStyle w:val="TAC"/>
              <w:rPr>
                <w:rFonts w:eastAsia="Batang"/>
                <w:color w:val="FF0000"/>
              </w:rPr>
            </w:pPr>
            <w:r w:rsidRPr="00482EA2">
              <w:rPr>
                <w:rFonts w:eastAsia="Batang"/>
              </w:rPr>
              <w:t>3</w:t>
            </w:r>
          </w:p>
        </w:tc>
        <w:tc>
          <w:tcPr>
            <w:tcW w:w="1843" w:type="dxa"/>
            <w:tcBorders>
              <w:top w:val="single" w:sz="4" w:space="0" w:color="auto"/>
              <w:left w:val="single" w:sz="4" w:space="0" w:color="auto"/>
              <w:bottom w:val="single" w:sz="4" w:space="0" w:color="auto"/>
              <w:right w:val="single" w:sz="4" w:space="0" w:color="auto"/>
            </w:tcBorders>
          </w:tcPr>
          <w:p w14:paraId="36ED582D" w14:textId="77777777" w:rsidR="006B79DA" w:rsidRPr="00482EA2" w:rsidRDefault="006B79DA" w:rsidP="009B5C0C">
            <w:pPr>
              <w:pStyle w:val="TAC"/>
              <w:rPr>
                <w:rFonts w:eastAsia="Batang"/>
                <w:color w:val="FF0000"/>
              </w:rPr>
            </w:pPr>
            <w:r w:rsidRPr="00482EA2">
              <w:rPr>
                <w:rFonts w:eastAsia="Batang"/>
              </w:rPr>
              <w:t>120</w:t>
            </w:r>
          </w:p>
        </w:tc>
        <w:tc>
          <w:tcPr>
            <w:tcW w:w="1843" w:type="dxa"/>
            <w:tcBorders>
              <w:top w:val="single" w:sz="4" w:space="0" w:color="auto"/>
              <w:left w:val="single" w:sz="4" w:space="0" w:color="auto"/>
              <w:bottom w:val="single" w:sz="4" w:space="0" w:color="auto"/>
              <w:right w:val="single" w:sz="4" w:space="0" w:color="auto"/>
            </w:tcBorders>
          </w:tcPr>
          <w:p w14:paraId="4A5C798F" w14:textId="77777777" w:rsidR="006B79DA" w:rsidRPr="00482EA2" w:rsidRDefault="006B79DA" w:rsidP="009B5C0C">
            <w:pPr>
              <w:pStyle w:val="TAC"/>
              <w:jc w:val="left"/>
              <w:rPr>
                <w:rFonts w:eastAsia="Batang"/>
                <w:color w:val="FF0000"/>
              </w:rPr>
            </w:pPr>
            <w:r w:rsidRPr="00482EA2">
              <w:rPr>
                <w:rFonts w:eastAsia="Batang"/>
              </w:rPr>
              <w:t>Normal</w:t>
            </w:r>
          </w:p>
        </w:tc>
      </w:tr>
      <w:tr w:rsidR="006B79DA" w:rsidRPr="00482EA2" w14:paraId="76F3836F" w14:textId="77777777" w:rsidTr="009B5C0C">
        <w:trPr>
          <w:jc w:val="center"/>
        </w:trPr>
        <w:tc>
          <w:tcPr>
            <w:tcW w:w="1129" w:type="dxa"/>
            <w:tcBorders>
              <w:top w:val="single" w:sz="4" w:space="0" w:color="auto"/>
              <w:left w:val="single" w:sz="4" w:space="0" w:color="auto"/>
              <w:bottom w:val="single" w:sz="4" w:space="0" w:color="auto"/>
              <w:right w:val="single" w:sz="4" w:space="0" w:color="auto"/>
            </w:tcBorders>
          </w:tcPr>
          <w:p w14:paraId="7BB44794" w14:textId="77777777" w:rsidR="006B79DA" w:rsidRPr="00482EA2" w:rsidRDefault="006B79DA" w:rsidP="009B5C0C">
            <w:pPr>
              <w:pStyle w:val="TAC"/>
              <w:rPr>
                <w:rFonts w:eastAsia="Batang"/>
                <w:color w:val="FF0000"/>
              </w:rPr>
            </w:pPr>
            <w:r w:rsidRPr="00482EA2">
              <w:rPr>
                <w:rFonts w:eastAsia="Batang"/>
                <w:color w:val="FF0000"/>
              </w:rPr>
              <w:t>4</w:t>
            </w:r>
          </w:p>
        </w:tc>
        <w:tc>
          <w:tcPr>
            <w:tcW w:w="1843" w:type="dxa"/>
            <w:tcBorders>
              <w:top w:val="single" w:sz="4" w:space="0" w:color="auto"/>
              <w:left w:val="single" w:sz="4" w:space="0" w:color="auto"/>
              <w:bottom w:val="single" w:sz="4" w:space="0" w:color="auto"/>
              <w:right w:val="single" w:sz="4" w:space="0" w:color="auto"/>
            </w:tcBorders>
          </w:tcPr>
          <w:p w14:paraId="4E2AEF4D" w14:textId="77777777" w:rsidR="006B79DA" w:rsidRPr="00482EA2" w:rsidRDefault="006B79DA" w:rsidP="009B5C0C">
            <w:pPr>
              <w:pStyle w:val="TAC"/>
              <w:rPr>
                <w:rFonts w:eastAsia="Batang"/>
                <w:color w:val="FF0000"/>
              </w:rPr>
            </w:pPr>
            <w:r w:rsidRPr="00482EA2">
              <w:rPr>
                <w:rFonts w:eastAsia="Batang"/>
                <w:color w:val="FF0000"/>
              </w:rPr>
              <w:t>240</w:t>
            </w:r>
          </w:p>
        </w:tc>
        <w:tc>
          <w:tcPr>
            <w:tcW w:w="1843" w:type="dxa"/>
            <w:tcBorders>
              <w:top w:val="single" w:sz="4" w:space="0" w:color="auto"/>
              <w:left w:val="single" w:sz="4" w:space="0" w:color="auto"/>
              <w:bottom w:val="single" w:sz="4" w:space="0" w:color="auto"/>
              <w:right w:val="single" w:sz="4" w:space="0" w:color="auto"/>
            </w:tcBorders>
          </w:tcPr>
          <w:p w14:paraId="602B4499" w14:textId="77777777" w:rsidR="006B79DA" w:rsidRPr="00482EA2" w:rsidRDefault="006B79DA" w:rsidP="009B5C0C">
            <w:pPr>
              <w:pStyle w:val="TAC"/>
              <w:jc w:val="left"/>
              <w:rPr>
                <w:rFonts w:eastAsia="Batang"/>
                <w:color w:val="FF0000"/>
              </w:rPr>
            </w:pPr>
            <w:r w:rsidRPr="00482EA2">
              <w:rPr>
                <w:rFonts w:eastAsia="Batang"/>
                <w:color w:val="FF0000"/>
              </w:rPr>
              <w:t>Normal</w:t>
            </w:r>
          </w:p>
        </w:tc>
      </w:tr>
      <w:tr w:rsidR="006B79DA" w:rsidRPr="00482EA2" w14:paraId="2AC7D41D" w14:textId="77777777" w:rsidTr="009B5C0C">
        <w:trPr>
          <w:jc w:val="center"/>
        </w:trPr>
        <w:tc>
          <w:tcPr>
            <w:tcW w:w="1129" w:type="dxa"/>
            <w:tcBorders>
              <w:top w:val="single" w:sz="4" w:space="0" w:color="auto"/>
              <w:left w:val="single" w:sz="4" w:space="0" w:color="auto"/>
              <w:bottom w:val="single" w:sz="4" w:space="0" w:color="auto"/>
              <w:right w:val="single" w:sz="4" w:space="0" w:color="auto"/>
            </w:tcBorders>
          </w:tcPr>
          <w:p w14:paraId="77064211" w14:textId="77777777" w:rsidR="006B79DA" w:rsidRPr="00482EA2" w:rsidRDefault="006B79DA" w:rsidP="009B5C0C">
            <w:pPr>
              <w:pStyle w:val="TAC"/>
              <w:rPr>
                <w:rFonts w:eastAsia="Batang"/>
                <w:color w:val="FF0000"/>
              </w:rPr>
            </w:pPr>
            <w:r w:rsidRPr="00482EA2">
              <w:rPr>
                <w:rFonts w:eastAsia="Batang"/>
                <w:color w:val="FF0000"/>
              </w:rPr>
              <w:t>5</w:t>
            </w:r>
          </w:p>
        </w:tc>
        <w:tc>
          <w:tcPr>
            <w:tcW w:w="1843" w:type="dxa"/>
            <w:tcBorders>
              <w:top w:val="single" w:sz="4" w:space="0" w:color="auto"/>
              <w:left w:val="single" w:sz="4" w:space="0" w:color="auto"/>
              <w:bottom w:val="single" w:sz="4" w:space="0" w:color="auto"/>
              <w:right w:val="single" w:sz="4" w:space="0" w:color="auto"/>
            </w:tcBorders>
          </w:tcPr>
          <w:p w14:paraId="4621730C" w14:textId="77777777" w:rsidR="006B79DA" w:rsidRPr="00482EA2" w:rsidRDefault="006B79DA" w:rsidP="009B5C0C">
            <w:pPr>
              <w:pStyle w:val="TAC"/>
              <w:rPr>
                <w:rFonts w:eastAsia="Batang"/>
                <w:color w:val="FF0000"/>
              </w:rPr>
            </w:pPr>
            <w:r w:rsidRPr="00482EA2">
              <w:rPr>
                <w:rFonts w:eastAsia="Batang"/>
                <w:color w:val="FF0000"/>
              </w:rPr>
              <w:t>480</w:t>
            </w:r>
          </w:p>
        </w:tc>
        <w:tc>
          <w:tcPr>
            <w:tcW w:w="1843" w:type="dxa"/>
            <w:tcBorders>
              <w:top w:val="single" w:sz="4" w:space="0" w:color="auto"/>
              <w:left w:val="single" w:sz="4" w:space="0" w:color="auto"/>
              <w:bottom w:val="single" w:sz="4" w:space="0" w:color="auto"/>
              <w:right w:val="single" w:sz="4" w:space="0" w:color="auto"/>
            </w:tcBorders>
          </w:tcPr>
          <w:p w14:paraId="0C476A5B" w14:textId="77777777" w:rsidR="006B79DA" w:rsidRPr="00482EA2" w:rsidRDefault="006B79DA" w:rsidP="009B5C0C">
            <w:pPr>
              <w:pStyle w:val="TAC"/>
              <w:jc w:val="left"/>
              <w:rPr>
                <w:rFonts w:eastAsia="Batang"/>
                <w:color w:val="FF0000"/>
              </w:rPr>
            </w:pPr>
            <w:r w:rsidRPr="00482EA2">
              <w:rPr>
                <w:rFonts w:eastAsia="Batang"/>
                <w:color w:val="FF0000"/>
              </w:rPr>
              <w:t>Normal</w:t>
            </w:r>
            <w:r>
              <w:rPr>
                <w:rFonts w:eastAsia="Batang"/>
                <w:color w:val="FF0000"/>
              </w:rPr>
              <w:t>, Extended?</w:t>
            </w:r>
          </w:p>
        </w:tc>
      </w:tr>
      <w:tr w:rsidR="006B79DA" w:rsidRPr="00482EA2" w14:paraId="1C2992C7" w14:textId="77777777" w:rsidTr="009B5C0C">
        <w:trPr>
          <w:jc w:val="center"/>
        </w:trPr>
        <w:tc>
          <w:tcPr>
            <w:tcW w:w="1129" w:type="dxa"/>
            <w:tcBorders>
              <w:top w:val="single" w:sz="4" w:space="0" w:color="auto"/>
              <w:left w:val="single" w:sz="4" w:space="0" w:color="auto"/>
              <w:bottom w:val="single" w:sz="4" w:space="0" w:color="auto"/>
              <w:right w:val="single" w:sz="4" w:space="0" w:color="auto"/>
            </w:tcBorders>
          </w:tcPr>
          <w:p w14:paraId="4F213912" w14:textId="77777777" w:rsidR="006B79DA" w:rsidRPr="00482EA2" w:rsidRDefault="006B79DA" w:rsidP="009B5C0C">
            <w:pPr>
              <w:pStyle w:val="TAC"/>
              <w:rPr>
                <w:rFonts w:eastAsia="Batang"/>
                <w:color w:val="FF0000"/>
              </w:rPr>
            </w:pPr>
            <w:r w:rsidRPr="00482EA2">
              <w:rPr>
                <w:rFonts w:eastAsia="Batang"/>
                <w:color w:val="FF0000"/>
              </w:rPr>
              <w:t>6</w:t>
            </w:r>
          </w:p>
        </w:tc>
        <w:tc>
          <w:tcPr>
            <w:tcW w:w="1843" w:type="dxa"/>
            <w:tcBorders>
              <w:top w:val="single" w:sz="4" w:space="0" w:color="auto"/>
              <w:left w:val="single" w:sz="4" w:space="0" w:color="auto"/>
              <w:bottom w:val="single" w:sz="4" w:space="0" w:color="auto"/>
              <w:right w:val="single" w:sz="4" w:space="0" w:color="auto"/>
            </w:tcBorders>
          </w:tcPr>
          <w:p w14:paraId="48974DE4" w14:textId="77777777" w:rsidR="006B79DA" w:rsidRPr="00482EA2" w:rsidRDefault="006B79DA" w:rsidP="009B5C0C">
            <w:pPr>
              <w:pStyle w:val="TAC"/>
              <w:rPr>
                <w:rFonts w:eastAsia="Batang"/>
                <w:color w:val="FF0000"/>
              </w:rPr>
            </w:pPr>
            <w:r w:rsidRPr="00482EA2">
              <w:rPr>
                <w:rFonts w:eastAsia="Batang"/>
                <w:color w:val="FF0000"/>
              </w:rPr>
              <w:t>960</w:t>
            </w:r>
          </w:p>
        </w:tc>
        <w:tc>
          <w:tcPr>
            <w:tcW w:w="1843" w:type="dxa"/>
            <w:tcBorders>
              <w:top w:val="single" w:sz="4" w:space="0" w:color="auto"/>
              <w:left w:val="single" w:sz="4" w:space="0" w:color="auto"/>
              <w:bottom w:val="single" w:sz="4" w:space="0" w:color="auto"/>
              <w:right w:val="single" w:sz="4" w:space="0" w:color="auto"/>
            </w:tcBorders>
          </w:tcPr>
          <w:p w14:paraId="6F94024F" w14:textId="77777777" w:rsidR="006B79DA" w:rsidRPr="00482EA2" w:rsidRDefault="006B79DA" w:rsidP="009B5C0C">
            <w:pPr>
              <w:pStyle w:val="TAC"/>
              <w:jc w:val="left"/>
              <w:rPr>
                <w:rFonts w:eastAsia="Batang"/>
                <w:color w:val="FF0000"/>
              </w:rPr>
            </w:pPr>
            <w:r w:rsidRPr="00482EA2">
              <w:rPr>
                <w:rFonts w:eastAsia="Batang"/>
                <w:color w:val="FF0000"/>
              </w:rPr>
              <w:t>Normal</w:t>
            </w:r>
            <w:r>
              <w:rPr>
                <w:rFonts w:eastAsia="Batang"/>
                <w:color w:val="FF0000"/>
              </w:rPr>
              <w:t>, Extended?</w:t>
            </w:r>
          </w:p>
        </w:tc>
      </w:tr>
    </w:tbl>
    <w:p w14:paraId="051162C0" w14:textId="77777777" w:rsidR="001E4444" w:rsidRDefault="001E4444" w:rsidP="006B79DA">
      <w:pPr>
        <w:spacing w:after="0"/>
        <w:rPr>
          <w:lang w:eastAsia="x-none"/>
        </w:rPr>
      </w:pPr>
    </w:p>
    <w:p w14:paraId="7AD6B70F" w14:textId="0A7E3E51" w:rsidR="006B79DA" w:rsidRDefault="00913CCE" w:rsidP="4C9CB026">
      <w:pPr>
        <w:spacing w:after="0"/>
        <w:rPr>
          <w:rFonts w:eastAsia="Batang"/>
          <w:lang w:val="en-US"/>
        </w:rPr>
      </w:pPr>
      <w:r>
        <w:t>Mi</w:t>
      </w:r>
      <w:r w:rsidR="001E4444">
        <w:t>nimiz</w:t>
      </w:r>
      <w:r>
        <w:t>ing</w:t>
      </w:r>
      <w:r w:rsidR="001E4444">
        <w:t xml:space="preserve"> the number of new SCS values </w:t>
      </w:r>
      <w:r>
        <w:t>would</w:t>
      </w:r>
      <w:r w:rsidR="001E4444">
        <w:t xml:space="preserve"> minimize the specification &amp; implementation complexity for the 60 GHz solution. </w:t>
      </w:r>
      <w:r w:rsidR="001E4444" w:rsidRPr="4C9CB026">
        <w:rPr>
          <w:rFonts w:eastAsia="Batang"/>
          <w:lang w:val="en-US"/>
        </w:rPr>
        <w:t>It is widely recognized that operation based on 120 kHz SCS is a reasonable option for the 60 GHz band at least in some scenarios. For example, it is a good choice for coverage limited scenarios, and it can be supported with minimal changes on top of the existing FR2 design. However, when using 120 kHz SCS, the maximum channel bandwidth (w/o carrier aggregation) is limited to 400 MHz. Furthermore, when using 120 kHz SCS special attention needs to be paid for phase noise mitigation, especially when using modulation orders higher than 16QAM</w:t>
      </w:r>
      <w:r w:rsidR="00D22812" w:rsidRPr="4C9CB026">
        <w:rPr>
          <w:rFonts w:eastAsia="Batang"/>
          <w:lang w:val="en-US"/>
        </w:rPr>
        <w:t>.</w:t>
      </w:r>
      <w:r w:rsidR="3D24ADE7" w:rsidRPr="4C9CB026">
        <w:rPr>
          <w:rFonts w:eastAsia="Batang"/>
          <w:lang w:val="en-US"/>
        </w:rPr>
        <w:t xml:space="preserve"> In [4] it has been shown that 120 kHz is feasible at least up to 64 QAM when ICI-compensation is used.</w:t>
      </w:r>
    </w:p>
    <w:p w14:paraId="250D4013" w14:textId="37B148B7" w:rsidR="00D22812" w:rsidRDefault="00D22812" w:rsidP="00D22812">
      <w:pPr>
        <w:spacing w:after="0"/>
        <w:rPr>
          <w:rFonts w:eastAsia="Batang"/>
          <w:lang w:val="en-US"/>
        </w:rPr>
      </w:pPr>
      <w:r w:rsidRPr="000371F4">
        <w:rPr>
          <w:rFonts w:eastAsia="Batang"/>
          <w:lang w:val="en-US"/>
        </w:rPr>
        <w:lastRenderedPageBreak/>
        <w:t xml:space="preserve">A high subcarrier spacing is needed to support wider bandwidths, such as BW &gt; 400 MHz also w/o carrier aggregation, and to enable good performance for high modulation orders (i.e. 64QAM and higher) with reasonable receiver complexity. One target scenario for the operation with a high subcarrier spacings is indoor. Based on the discussion in the subsequent sections and the simulation results shown </w:t>
      </w:r>
      <w:r w:rsidR="00F96BD9">
        <w:rPr>
          <w:rFonts w:eastAsia="Batang"/>
          <w:lang w:val="en-US"/>
        </w:rPr>
        <w:t xml:space="preserve">in </w:t>
      </w:r>
      <w:r w:rsidR="00F96BD9">
        <w:rPr>
          <w:rFonts w:eastAsia="Batang"/>
          <w:lang w:val="en-US"/>
        </w:rPr>
        <w:fldChar w:fldCharType="begin"/>
      </w:r>
      <w:r w:rsidR="00F96BD9">
        <w:rPr>
          <w:rFonts w:eastAsia="Batang"/>
          <w:lang w:val="en-US"/>
        </w:rPr>
        <w:instrText xml:space="preserve"> REF _Ref53573861 \r \h </w:instrText>
      </w:r>
      <w:r w:rsidR="00F96BD9">
        <w:rPr>
          <w:rFonts w:eastAsia="Batang"/>
          <w:lang w:val="en-US"/>
        </w:rPr>
      </w:r>
      <w:r w:rsidR="00F96BD9">
        <w:rPr>
          <w:rFonts w:eastAsia="Batang"/>
          <w:lang w:val="en-US"/>
        </w:rPr>
        <w:fldChar w:fldCharType="separate"/>
      </w:r>
      <w:r w:rsidR="00A0307E">
        <w:rPr>
          <w:rFonts w:eastAsia="Batang"/>
          <w:lang w:val="en-US"/>
        </w:rPr>
        <w:t>[4]</w:t>
      </w:r>
      <w:r w:rsidR="00F96BD9">
        <w:rPr>
          <w:rFonts w:eastAsia="Batang"/>
          <w:lang w:val="en-US"/>
        </w:rPr>
        <w:fldChar w:fldCharType="end"/>
      </w:r>
      <w:r w:rsidRPr="000371F4">
        <w:rPr>
          <w:rFonts w:eastAsia="Batang"/>
          <w:lang w:val="en-US"/>
        </w:rPr>
        <w:t xml:space="preserve">, 960 kHz SCS is considered to be the best SCS option for the scenarios requiring high data rates with reasonable implementation complexity and smooth coexistence with WiGig. </w:t>
      </w:r>
      <w:r>
        <w:rPr>
          <w:lang w:eastAsia="x-none"/>
        </w:rPr>
        <w:t>Hence</w:t>
      </w:r>
      <w:r w:rsidRPr="000371F4">
        <w:rPr>
          <w:lang w:val="en-US" w:eastAsia="x-none"/>
        </w:rPr>
        <w:t>, we think that only one additional subcarrier spacing value (</w:t>
      </w:r>
      <w:r w:rsidRPr="000371F4">
        <w:rPr>
          <w:rFonts w:eastAsia="Batang"/>
          <w:lang w:val="en-US"/>
        </w:rPr>
        <w:t>µ=6) is needed for 60GHz scenario, on top of the existing FR2 numerologies.</w:t>
      </w:r>
    </w:p>
    <w:p w14:paraId="4A2FB359" w14:textId="77777777" w:rsidR="00706034" w:rsidRDefault="00706034" w:rsidP="00706034">
      <w:pPr>
        <w:spacing w:after="0"/>
        <w:rPr>
          <w:b/>
          <w:i/>
          <w:lang w:val="en-US"/>
        </w:rPr>
      </w:pPr>
    </w:p>
    <w:p w14:paraId="7B2AF99B" w14:textId="5C69FC49" w:rsidR="00706034" w:rsidRPr="00DA21D6" w:rsidRDefault="00706034" w:rsidP="00D22812">
      <w:pPr>
        <w:spacing w:after="0"/>
        <w:rPr>
          <w:b/>
          <w:iCs/>
          <w:lang w:val="en-US"/>
        </w:rPr>
      </w:pPr>
      <w:r w:rsidRPr="00DA21D6">
        <w:rPr>
          <w:b/>
          <w:iCs/>
          <w:lang w:val="en-US"/>
        </w:rPr>
        <w:t xml:space="preserve">Observation 1: </w:t>
      </w:r>
      <w:r w:rsidR="00727016" w:rsidRPr="00DA21D6">
        <w:rPr>
          <w:b/>
          <w:iCs/>
        </w:rPr>
        <w:t xml:space="preserve">Considering specification effort, coexistence with WiGig indoors, low delay spread in coverage limited scenarios, and low implementation complexity, it seems that only one additional subcarrier spacing, particularly value of </w:t>
      </w:r>
      <w:r w:rsidR="00727016" w:rsidRPr="00DA21D6">
        <w:rPr>
          <w:b/>
          <w:iCs/>
          <w:lang w:eastAsia="x-none"/>
        </w:rPr>
        <w:t>(</w:t>
      </w:r>
      <w:r w:rsidR="00727016" w:rsidRPr="00DA21D6">
        <w:rPr>
          <w:rFonts w:eastAsia="Batang"/>
          <w:b/>
          <w:iCs/>
        </w:rPr>
        <w:t>µ=6)</w:t>
      </w:r>
      <w:r w:rsidR="00727016" w:rsidRPr="00DA21D6">
        <w:rPr>
          <w:b/>
          <w:iCs/>
        </w:rPr>
        <w:t xml:space="preserve"> </w:t>
      </w:r>
      <w:r w:rsidR="00727016" w:rsidRPr="00DA21D6">
        <w:rPr>
          <w:rFonts w:eastAsia="Batang"/>
          <w:b/>
          <w:iCs/>
        </w:rPr>
        <w:t>for physical data channels</w:t>
      </w:r>
      <w:r w:rsidR="00727016" w:rsidRPr="00DA21D6">
        <w:rPr>
          <w:b/>
          <w:iCs/>
        </w:rPr>
        <w:t xml:space="preserve"> would be sufficient for 60 GHz scenario.</w:t>
      </w:r>
    </w:p>
    <w:p w14:paraId="04B28B74" w14:textId="77777777" w:rsidR="007110AC" w:rsidRPr="007110AC" w:rsidRDefault="007110AC" w:rsidP="007110AC">
      <w:pPr>
        <w:pStyle w:val="Heading2"/>
        <w:overflowPunct w:val="0"/>
        <w:autoSpaceDE w:val="0"/>
        <w:autoSpaceDN w:val="0"/>
        <w:adjustRightInd w:val="0"/>
        <w:textAlignment w:val="baseline"/>
        <w:rPr>
          <w:sz w:val="24"/>
          <w:lang w:val="en-US"/>
        </w:rPr>
      </w:pPr>
      <w:r w:rsidRPr="007110AC">
        <w:rPr>
          <w:sz w:val="24"/>
          <w:lang w:val="en-US"/>
        </w:rPr>
        <w:t>Channel bandwidth including maximum bandwidth</w:t>
      </w:r>
    </w:p>
    <w:p w14:paraId="7B8337E4" w14:textId="472D54D3" w:rsidR="00E15F54" w:rsidRDefault="00E15F54" w:rsidP="006B79DA">
      <w:pPr>
        <w:spacing w:after="0"/>
        <w:rPr>
          <w:iCs/>
          <w:lang w:val="en-US" w:eastAsia="x-none"/>
        </w:rPr>
      </w:pPr>
      <w:r w:rsidRPr="005C4399">
        <w:rPr>
          <w:iCs/>
          <w:lang w:val="en-US" w:eastAsia="x-none"/>
        </w:rPr>
        <w:t>The following bandwidth was agreed to be further discussed</w:t>
      </w:r>
      <w:r w:rsidR="005C4399">
        <w:rPr>
          <w:iCs/>
          <w:lang w:val="en-US" w:eastAsia="x-none"/>
        </w:rPr>
        <w:t xml:space="preserve"> </w:t>
      </w:r>
      <w:r w:rsidRPr="005C4399">
        <w:rPr>
          <w:iCs/>
          <w:lang w:val="en-US" w:eastAsia="x-none"/>
        </w:rPr>
        <w:fldChar w:fldCharType="begin"/>
      </w:r>
      <w:r w:rsidRPr="005C4399">
        <w:rPr>
          <w:iCs/>
          <w:lang w:val="en-US" w:eastAsia="x-none"/>
        </w:rPr>
        <w:instrText xml:space="preserve"> REF _Ref53500542 \r \h </w:instrText>
      </w:r>
      <w:r w:rsidR="005C4399" w:rsidRPr="005C4399">
        <w:rPr>
          <w:iCs/>
          <w:lang w:val="en-US" w:eastAsia="x-none"/>
        </w:rPr>
        <w:instrText xml:space="preserve"> \* MERGEFORMAT </w:instrText>
      </w:r>
      <w:r w:rsidRPr="005C4399">
        <w:rPr>
          <w:iCs/>
          <w:lang w:val="en-US" w:eastAsia="x-none"/>
        </w:rPr>
      </w:r>
      <w:r w:rsidRPr="005C4399">
        <w:rPr>
          <w:iCs/>
          <w:lang w:val="en-US" w:eastAsia="x-none"/>
        </w:rPr>
        <w:fldChar w:fldCharType="separate"/>
      </w:r>
      <w:r w:rsidR="00A0307E">
        <w:rPr>
          <w:iCs/>
          <w:lang w:val="en-US" w:eastAsia="x-none"/>
        </w:rPr>
        <w:t>[3]</w:t>
      </w:r>
      <w:r w:rsidRPr="005C4399">
        <w:rPr>
          <w:iCs/>
          <w:lang w:val="en-US" w:eastAsia="x-none"/>
        </w:rPr>
        <w:fldChar w:fldCharType="end"/>
      </w:r>
      <w:r w:rsidRPr="005C4399">
        <w:rPr>
          <w:iCs/>
          <w:lang w:val="en-US" w:eastAsia="x-none"/>
        </w:rPr>
        <w:t>:</w:t>
      </w:r>
    </w:p>
    <w:p w14:paraId="1DC7E818" w14:textId="77777777" w:rsidR="004F31E9" w:rsidRPr="005C4399" w:rsidRDefault="004F31E9" w:rsidP="006B79DA">
      <w:pPr>
        <w:spacing w:after="0"/>
        <w:rPr>
          <w:iCs/>
          <w:lang w:val="en-US" w:eastAsia="x-none"/>
        </w:rPr>
      </w:pPr>
    </w:p>
    <w:p w14:paraId="7F5A534A" w14:textId="008C1FD3" w:rsidR="00E15F54" w:rsidRPr="005C4399" w:rsidRDefault="00D538CC" w:rsidP="005C4399">
      <w:pPr>
        <w:pStyle w:val="ListParagraph"/>
        <w:numPr>
          <w:ilvl w:val="0"/>
          <w:numId w:val="15"/>
        </w:numPr>
        <w:spacing w:after="0"/>
        <w:ind w:firstLineChars="0"/>
        <w:rPr>
          <w:i/>
          <w:color w:val="0070C0"/>
          <w:lang w:val="en-US" w:eastAsia="x-none"/>
        </w:rPr>
      </w:pPr>
      <w:r w:rsidRPr="005C4399">
        <w:rPr>
          <w:i/>
          <w:color w:val="0070C0"/>
          <w:lang w:val="en-US" w:eastAsia="x-none"/>
        </w:rPr>
        <w:t xml:space="preserve">The maximum </w:t>
      </w:r>
      <w:r w:rsidR="00806C90" w:rsidRPr="005C4399">
        <w:rPr>
          <w:i/>
          <w:color w:val="0070C0"/>
          <w:lang w:val="en-US" w:eastAsia="x-none"/>
        </w:rPr>
        <w:t xml:space="preserve">supported </w:t>
      </w:r>
      <w:r w:rsidRPr="005C4399">
        <w:rPr>
          <w:i/>
          <w:color w:val="0070C0"/>
          <w:lang w:val="en-US" w:eastAsia="x-none"/>
        </w:rPr>
        <w:t xml:space="preserve">channel bandwidth </w:t>
      </w:r>
      <w:r w:rsidR="00706034" w:rsidRPr="005C4399">
        <w:rPr>
          <w:i/>
          <w:color w:val="0070C0"/>
          <w:lang w:val="en-US" w:eastAsia="x-none"/>
        </w:rPr>
        <w:t>between</w:t>
      </w:r>
      <w:r w:rsidRPr="005C4399">
        <w:rPr>
          <w:i/>
          <w:color w:val="0070C0"/>
          <w:lang w:val="en-US" w:eastAsia="x-none"/>
        </w:rPr>
        <w:t xml:space="preserve"> 400</w:t>
      </w:r>
      <w:r w:rsidR="00706034" w:rsidRPr="005C4399">
        <w:rPr>
          <w:i/>
          <w:color w:val="0070C0"/>
          <w:lang w:val="en-US" w:eastAsia="x-none"/>
        </w:rPr>
        <w:t xml:space="preserve"> MHz</w:t>
      </w:r>
      <w:r w:rsidRPr="005C4399">
        <w:rPr>
          <w:i/>
          <w:color w:val="0070C0"/>
          <w:lang w:val="en-US" w:eastAsia="x-none"/>
        </w:rPr>
        <w:t xml:space="preserve"> </w:t>
      </w:r>
      <w:r w:rsidR="00706034" w:rsidRPr="005C4399">
        <w:rPr>
          <w:i/>
          <w:color w:val="0070C0"/>
          <w:lang w:val="en-US" w:eastAsia="x-none"/>
        </w:rPr>
        <w:t xml:space="preserve">and </w:t>
      </w:r>
      <w:r w:rsidRPr="005C4399">
        <w:rPr>
          <w:i/>
          <w:color w:val="0070C0"/>
          <w:lang w:val="en-US" w:eastAsia="x-none"/>
        </w:rPr>
        <w:t xml:space="preserve">2160 MHz, </w:t>
      </w:r>
    </w:p>
    <w:p w14:paraId="167BC3A5" w14:textId="20BCB2BA" w:rsidR="00D22812" w:rsidRPr="005C4399" w:rsidRDefault="00E15F54" w:rsidP="005C4399">
      <w:pPr>
        <w:pStyle w:val="ListParagraph"/>
        <w:numPr>
          <w:ilvl w:val="0"/>
          <w:numId w:val="15"/>
        </w:numPr>
        <w:spacing w:after="0"/>
        <w:ind w:firstLineChars="0"/>
        <w:rPr>
          <w:i/>
          <w:color w:val="0070C0"/>
          <w:lang w:val="en-US" w:eastAsia="x-none"/>
        </w:rPr>
      </w:pPr>
      <w:r w:rsidRPr="005C4399">
        <w:rPr>
          <w:i/>
          <w:color w:val="0070C0"/>
          <w:lang w:val="en-US" w:eastAsia="x-none"/>
        </w:rPr>
        <w:t>T</w:t>
      </w:r>
      <w:r w:rsidR="00D538CC" w:rsidRPr="005C4399">
        <w:rPr>
          <w:i/>
          <w:color w:val="0070C0"/>
          <w:lang w:val="en-US" w:eastAsia="x-none"/>
        </w:rPr>
        <w:t xml:space="preserve">he minimum </w:t>
      </w:r>
      <w:r w:rsidRPr="005C4399">
        <w:rPr>
          <w:i/>
          <w:color w:val="0070C0"/>
          <w:lang w:val="en-US" w:eastAsia="x-none"/>
        </w:rPr>
        <w:t xml:space="preserve">supported </w:t>
      </w:r>
      <w:r w:rsidR="00D538CC" w:rsidRPr="005C4399">
        <w:rPr>
          <w:i/>
          <w:color w:val="0070C0"/>
          <w:lang w:val="en-US" w:eastAsia="x-none"/>
        </w:rPr>
        <w:t xml:space="preserve">channel bandwidth </w:t>
      </w:r>
      <w:r w:rsidR="00706034" w:rsidRPr="005C4399">
        <w:rPr>
          <w:i/>
          <w:color w:val="0070C0"/>
          <w:lang w:val="en-US" w:eastAsia="x-none"/>
        </w:rPr>
        <w:t xml:space="preserve">between </w:t>
      </w:r>
      <w:r w:rsidR="00D538CC" w:rsidRPr="005C4399">
        <w:rPr>
          <w:i/>
          <w:color w:val="0070C0"/>
          <w:lang w:val="en-US" w:eastAsia="x-none"/>
        </w:rPr>
        <w:t>50</w:t>
      </w:r>
      <w:r w:rsidR="00706034" w:rsidRPr="005C4399">
        <w:rPr>
          <w:i/>
          <w:color w:val="0070C0"/>
          <w:lang w:val="en-US" w:eastAsia="x-none"/>
        </w:rPr>
        <w:t xml:space="preserve"> MHz</w:t>
      </w:r>
      <w:r w:rsidR="00D538CC" w:rsidRPr="005C4399">
        <w:rPr>
          <w:i/>
          <w:color w:val="0070C0"/>
          <w:lang w:val="en-US" w:eastAsia="x-none"/>
        </w:rPr>
        <w:t xml:space="preserve"> </w:t>
      </w:r>
      <w:r w:rsidR="00706034" w:rsidRPr="005C4399">
        <w:rPr>
          <w:i/>
          <w:color w:val="0070C0"/>
          <w:lang w:val="en-US" w:eastAsia="x-none"/>
        </w:rPr>
        <w:t>and</w:t>
      </w:r>
      <w:r w:rsidR="00D538CC" w:rsidRPr="005C4399">
        <w:rPr>
          <w:i/>
          <w:color w:val="0070C0"/>
          <w:lang w:val="en-US" w:eastAsia="x-none"/>
        </w:rPr>
        <w:t xml:space="preserve"> 800 </w:t>
      </w:r>
      <w:r w:rsidRPr="005C4399">
        <w:rPr>
          <w:i/>
          <w:color w:val="0070C0"/>
          <w:lang w:val="en-US" w:eastAsia="x-none"/>
        </w:rPr>
        <w:t>MHz</w:t>
      </w:r>
    </w:p>
    <w:p w14:paraId="10CB68CC" w14:textId="72A0D56D" w:rsidR="00933174" w:rsidRDefault="00933174" w:rsidP="00933174">
      <w:pPr>
        <w:spacing w:after="0"/>
        <w:rPr>
          <w:iCs/>
          <w:lang w:val="en-US" w:eastAsia="x-none"/>
        </w:rPr>
      </w:pPr>
    </w:p>
    <w:p w14:paraId="2DBEA59E" w14:textId="77777777" w:rsidR="00DB76A9" w:rsidRPr="00DF1291" w:rsidRDefault="00DB76A9" w:rsidP="00DB76A9">
      <w:pPr>
        <w:rPr>
          <w:rFonts w:ascii="Calibri" w:eastAsia="SimSun" w:hAnsi="Calibri"/>
          <w:b/>
          <w:u w:val="single"/>
          <w:lang w:eastAsia="x-none"/>
        </w:rPr>
      </w:pPr>
      <w:r w:rsidRPr="00DF1291">
        <w:rPr>
          <w:b/>
          <w:u w:val="single"/>
          <w:lang w:eastAsia="x-none"/>
        </w:rPr>
        <w:t>Channelization and sub-channelization:</w:t>
      </w:r>
    </w:p>
    <w:p w14:paraId="05E47432" w14:textId="18704DEF" w:rsidR="00DB76A9" w:rsidRPr="00DF1291" w:rsidRDefault="00DB76A9" w:rsidP="00DB76A9">
      <w:pPr>
        <w:rPr>
          <w:lang w:val="en-US"/>
        </w:rPr>
      </w:pPr>
      <w:r w:rsidRPr="00E52321">
        <w:rPr>
          <w:lang w:val="en-US"/>
        </w:rPr>
        <w:t xml:space="preserve">In [6], ITU-R recommends 2.16 GHz channel bandwidth for multiple gigabit wireless systems (MGWS) on the grounds that MGWS standards should employ the same channelization for better coexistence. </w:t>
      </w:r>
      <w:r w:rsidRPr="00DF1291">
        <w:rPr>
          <w:lang w:val="en-US"/>
        </w:rPr>
        <w:t xml:space="preserve">As discussed in </w:t>
      </w:r>
      <w:r w:rsidRPr="004638D9">
        <w:fldChar w:fldCharType="begin"/>
      </w:r>
      <w:r w:rsidRPr="00DF1291">
        <w:rPr>
          <w:lang w:val="en-US"/>
        </w:rPr>
        <w:instrText xml:space="preserve"> REF _Ref31097951 \n \h  \* MERGEFORMAT </w:instrText>
      </w:r>
      <w:r w:rsidRPr="004638D9">
        <w:fldChar w:fldCharType="separate"/>
      </w:r>
      <w:r w:rsidR="00A0307E">
        <w:rPr>
          <w:lang w:val="en-US"/>
        </w:rPr>
        <w:t>[2]</w:t>
      </w:r>
      <w:r w:rsidRPr="004638D9">
        <w:fldChar w:fldCharType="end"/>
      </w:r>
      <w:r w:rsidRPr="00E52321">
        <w:rPr>
          <w:lang w:val="en-US"/>
        </w:rPr>
        <w:t>, 802.11ad/ay systems currently support multiple of 2.16 GHz block</w:t>
      </w:r>
      <w:r w:rsidRPr="00DF1291">
        <w:rPr>
          <w:lang w:val="en-US"/>
        </w:rPr>
        <w:t>s in 52.6 GHz to 71 GHz unlicensed spectrum. In order to maximize the coexistence between WiGig, it makes sense to consider 2.16 GHz as the baseline channelization for NR above 52.6 GHz.</w:t>
      </w:r>
    </w:p>
    <w:p w14:paraId="284A54D1" w14:textId="3B72835A" w:rsidR="00DB76A9" w:rsidRPr="00DF1291" w:rsidRDefault="00DB76A9" w:rsidP="00DB76A9">
      <w:pPr>
        <w:rPr>
          <w:lang w:val="en-US"/>
        </w:rPr>
      </w:pPr>
      <w:r w:rsidRPr="00E52321">
        <w:rPr>
          <w:lang w:val="en-US"/>
        </w:rPr>
        <w:t>One of the basic features of NR is variable bandwidth operation</w:t>
      </w:r>
      <w:r w:rsidRPr="00DF1291">
        <w:rPr>
          <w:lang w:val="en-US"/>
        </w:rPr>
        <w:t xml:space="preserve"> and it needs to be supported also when operating at a 2.16 GHz channel (@ 60GHz band). Narrowband operation will enable a higher power spectral density, which has positive impact to the cell throughput in coverage limited scenarios, as shown e.g. in </w:t>
      </w:r>
      <w:r w:rsidR="005E6457">
        <w:rPr>
          <w:lang w:val="en-US"/>
        </w:rPr>
        <w:fldChar w:fldCharType="begin"/>
      </w:r>
      <w:r w:rsidR="005E6457">
        <w:rPr>
          <w:lang w:val="en-US"/>
        </w:rPr>
        <w:instrText xml:space="preserve"> REF _Ref53572684 \r \h </w:instrText>
      </w:r>
      <w:r w:rsidR="005E6457">
        <w:rPr>
          <w:lang w:val="en-US"/>
        </w:rPr>
      </w:r>
      <w:r w:rsidR="005E6457">
        <w:rPr>
          <w:lang w:val="en-US"/>
        </w:rPr>
        <w:fldChar w:fldCharType="separate"/>
      </w:r>
      <w:r w:rsidR="00A0307E">
        <w:rPr>
          <w:lang w:val="en-US"/>
        </w:rPr>
        <w:t>[5]</w:t>
      </w:r>
      <w:r w:rsidR="005E6457">
        <w:rPr>
          <w:lang w:val="en-US"/>
        </w:rPr>
        <w:fldChar w:fldCharType="end"/>
      </w:r>
      <w:r w:rsidRPr="00DF1291">
        <w:rPr>
          <w:lang w:val="en-US"/>
        </w:rPr>
        <w:t xml:space="preserve">. A natural starting point for the narrowband operation is to support 400 MHz bandwidth also for 60 GHz scenario. It can be noted that 400 MHz bandwidth is sufficient to provide the maximum allowed EIRP under conditions of limited maximum power spectral density (dBm/MHz). </w:t>
      </w:r>
    </w:p>
    <w:p w14:paraId="46A4A7AC" w14:textId="33397568" w:rsidR="00DB76A9" w:rsidRPr="00DF1291" w:rsidRDefault="00DB76A9" w:rsidP="00DB76A9">
      <w:pPr>
        <w:rPr>
          <w:lang w:val="en-US"/>
        </w:rPr>
      </w:pPr>
      <w:r w:rsidRPr="00DA21D6">
        <w:rPr>
          <w:lang w:val="en-US"/>
        </w:rPr>
        <w:t>RAN1 #102-e made an agreement to “</w:t>
      </w:r>
      <w:r w:rsidRPr="00DA21D6">
        <w:rPr>
          <w:color w:val="0070C0"/>
          <w:lang w:val="en-US"/>
        </w:rPr>
        <w:t>consider the study of NR channelization/sub-channelization, including the justification for the features and their potential benefits”</w:t>
      </w:r>
      <w:r w:rsidRPr="00DA21D6">
        <w:rPr>
          <w:lang w:val="en-US"/>
        </w:rPr>
        <w:t>. A</w:t>
      </w:r>
      <w:r w:rsidRPr="4C9CB026">
        <w:rPr>
          <w:lang w:val="en-US"/>
        </w:rPr>
        <w:t xml:space="preserve"> motivation behind is to facilitate efficient interference management for </w:t>
      </w:r>
      <w:r w:rsidR="1F4B62A1" w:rsidRPr="4C9CB026">
        <w:rPr>
          <w:lang w:val="en-US"/>
        </w:rPr>
        <w:t>wideband/</w:t>
      </w:r>
      <w:r w:rsidRPr="4C9CB026">
        <w:rPr>
          <w:lang w:val="en-US"/>
        </w:rPr>
        <w:t xml:space="preserve">narrowband operation. Sub-channelization can be seen as “channelization for narrowband operation”, which aims at avoiding partial overlap between transmissions from adjacent gNBs/UEs. Figure 1 shows an example where 2.16 GHz channel is split into five sub-channels of 432 </w:t>
      </w:r>
      <w:r w:rsidR="00806C90" w:rsidRPr="4C9CB026">
        <w:rPr>
          <w:lang w:val="en-US"/>
        </w:rPr>
        <w:t>MHz.</w:t>
      </w:r>
      <w:r w:rsidRPr="4C9CB026">
        <w:rPr>
          <w:lang w:val="en-US"/>
        </w:rPr>
        <w:t xml:space="preserve"> In this scenario, sub-channelization would mean that up-to 400 MHz transmission should be confined within one sub-channel, up-to 800 MHz transmission within two consecutive sub-channels (within a 2.16 GHz channel) and so forth. </w:t>
      </w:r>
    </w:p>
    <w:p w14:paraId="35C151D8" w14:textId="77777777" w:rsidR="00DB76A9" w:rsidRPr="00DA21D6" w:rsidRDefault="00DB76A9" w:rsidP="00DB76A9">
      <w:pPr>
        <w:rPr>
          <w:b/>
          <w:iCs/>
          <w:lang w:val="en-US"/>
        </w:rPr>
      </w:pPr>
      <w:r w:rsidRPr="00DA21D6">
        <w:rPr>
          <w:b/>
          <w:iCs/>
          <w:lang w:val="en-US"/>
        </w:rPr>
        <w:t>Proposal 1: Define channelization according to 2.16 GHz CBW, which is preferred from coexistence point of view.</w:t>
      </w:r>
    </w:p>
    <w:p w14:paraId="546D9592" w14:textId="77777777" w:rsidR="00DB76A9" w:rsidRPr="00DA21D6" w:rsidRDefault="00DB76A9" w:rsidP="00DB76A9">
      <w:pPr>
        <w:rPr>
          <w:b/>
          <w:iCs/>
          <w:lang w:val="en-US"/>
        </w:rPr>
      </w:pPr>
      <w:r w:rsidRPr="00DA21D6">
        <w:rPr>
          <w:b/>
          <w:iCs/>
          <w:lang w:val="en-US"/>
        </w:rPr>
        <w:t>Proposal 2: Support sub-channelization for 2.16 GHz channels to facilitate smooth coexistence for narrowband operation.</w:t>
      </w:r>
    </w:p>
    <w:p w14:paraId="0B0FF488" w14:textId="77777777" w:rsidR="00DB76A9" w:rsidRPr="004638D9" w:rsidRDefault="00DB76A9" w:rsidP="00DB76A9">
      <w:r>
        <w:rPr>
          <w:noProof/>
        </w:rPr>
        <w:drawing>
          <wp:inline distT="0" distB="0" distL="0" distR="0" wp14:anchorId="64FA638F" wp14:editId="74CA61DA">
            <wp:extent cx="6120765" cy="659130"/>
            <wp:effectExtent l="0" t="0" r="0" b="762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6120765" cy="659130"/>
                    </a:xfrm>
                    <a:prstGeom prst="rect">
                      <a:avLst/>
                    </a:prstGeom>
                  </pic:spPr>
                </pic:pic>
              </a:graphicData>
            </a:graphic>
          </wp:inline>
        </w:drawing>
      </w:r>
    </w:p>
    <w:p w14:paraId="7E24CDDC" w14:textId="0F283808" w:rsidR="00DB76A9" w:rsidRPr="00DF1291" w:rsidRDefault="00DB76A9" w:rsidP="00DB76A9">
      <w:pPr>
        <w:pStyle w:val="Caption"/>
        <w:jc w:val="center"/>
        <w:rPr>
          <w:lang w:val="en-US"/>
        </w:rPr>
      </w:pPr>
      <w:r w:rsidRPr="00E52321">
        <w:rPr>
          <w:lang w:val="en-US"/>
        </w:rPr>
        <w:t xml:space="preserve">Figure </w:t>
      </w:r>
      <w:r w:rsidRPr="004638D9">
        <w:fldChar w:fldCharType="begin"/>
      </w:r>
      <w:r w:rsidRPr="00DF1291">
        <w:rPr>
          <w:lang w:val="en-US"/>
        </w:rPr>
        <w:instrText xml:space="preserve"> SEQ Figure \* ARABIC </w:instrText>
      </w:r>
      <w:r w:rsidRPr="004638D9">
        <w:fldChar w:fldCharType="separate"/>
      </w:r>
      <w:r w:rsidR="00A0307E">
        <w:rPr>
          <w:noProof/>
          <w:lang w:val="en-US"/>
        </w:rPr>
        <w:t>1</w:t>
      </w:r>
      <w:r w:rsidRPr="004638D9">
        <w:fldChar w:fldCharType="end"/>
      </w:r>
      <w:r w:rsidRPr="00E52321">
        <w:rPr>
          <w:lang w:val="en-US"/>
        </w:rPr>
        <w:t>. Five subchannels within a 2.16 GHz channel.</w:t>
      </w:r>
    </w:p>
    <w:p w14:paraId="1F28B381" w14:textId="77777777" w:rsidR="00DB76A9" w:rsidRDefault="00DB76A9" w:rsidP="00933174">
      <w:pPr>
        <w:spacing w:after="0"/>
        <w:rPr>
          <w:iCs/>
          <w:lang w:val="en-US" w:eastAsia="x-none"/>
        </w:rPr>
      </w:pPr>
    </w:p>
    <w:p w14:paraId="6A250D4B" w14:textId="4D9CBB54" w:rsidR="00933174" w:rsidRPr="000371F4" w:rsidRDefault="00933174" w:rsidP="00933174">
      <w:pPr>
        <w:spacing w:after="0"/>
        <w:rPr>
          <w:u w:val="single"/>
          <w:lang w:val="en-US"/>
        </w:rPr>
      </w:pPr>
      <w:r w:rsidRPr="000371F4">
        <w:rPr>
          <w:u w:val="single"/>
          <w:lang w:val="en-US"/>
        </w:rPr>
        <w:t>Bandwidth &amp; BW extension</w:t>
      </w:r>
    </w:p>
    <w:p w14:paraId="2A7BE13F" w14:textId="77777777" w:rsidR="00933174" w:rsidRPr="000371F4" w:rsidRDefault="00933174" w:rsidP="00933174">
      <w:pPr>
        <w:spacing w:after="0"/>
        <w:rPr>
          <w:lang w:val="en-US"/>
        </w:rPr>
      </w:pPr>
    </w:p>
    <w:p w14:paraId="6D7CF00C" w14:textId="2D0A627D" w:rsidR="00933174" w:rsidRPr="000371F4" w:rsidRDefault="00933174" w:rsidP="00933174">
      <w:pPr>
        <w:rPr>
          <w:lang w:val="en-US"/>
        </w:rPr>
      </w:pPr>
      <w:r w:rsidRPr="000371F4">
        <w:rPr>
          <w:lang w:val="en-US"/>
        </w:rPr>
        <w:t xml:space="preserve">It’s well-known that subcarrier spacing, and the maximum channel bandwidth supported go hand by hand – the higher the SCS, the higher is the BW supported by given number of PRBs (up-to 275).  </w:t>
      </w:r>
    </w:p>
    <w:p w14:paraId="6D11E51B" w14:textId="1CEEDD81" w:rsidR="00933174" w:rsidRPr="00252E1C" w:rsidRDefault="00933174" w:rsidP="00933174">
      <w:pPr>
        <w:spacing w:after="0"/>
        <w:rPr>
          <w:szCs w:val="18"/>
        </w:rPr>
      </w:pPr>
      <w:r w:rsidRPr="000371F4">
        <w:rPr>
          <w:lang w:val="en-US"/>
        </w:rPr>
        <w:t xml:space="preserve">Carrier aggregation is a way increase the BW beyond the limitations of a single component </w:t>
      </w:r>
      <w:r w:rsidR="00554AA7" w:rsidRPr="000371F4">
        <w:rPr>
          <w:lang w:val="en-US"/>
        </w:rPr>
        <w:t>carrier</w:t>
      </w:r>
      <w:r w:rsidRPr="000371F4">
        <w:rPr>
          <w:lang w:val="en-US"/>
        </w:rPr>
        <w:t xml:space="preserve">. </w:t>
      </w:r>
      <w:r w:rsidRPr="000371F4">
        <w:rPr>
          <w:szCs w:val="18"/>
          <w:lang w:val="en-US"/>
        </w:rPr>
        <w:t xml:space="preserve">Table 2 shows the number of component carriers needed to fill a 2.16 GHz channel. It assumes spectrum usage efficiency &gt; 90% and up-to 275 PRBs/carrier. </w:t>
      </w:r>
      <w:r>
        <w:rPr>
          <w:szCs w:val="18"/>
        </w:rPr>
        <w:t>It shows that</w:t>
      </w:r>
    </w:p>
    <w:p w14:paraId="628F3A9D" w14:textId="77777777" w:rsidR="00933174" w:rsidRPr="000371F4" w:rsidRDefault="00933174" w:rsidP="00933174">
      <w:pPr>
        <w:pStyle w:val="ListParagraph"/>
        <w:numPr>
          <w:ilvl w:val="0"/>
          <w:numId w:val="21"/>
        </w:numPr>
        <w:overflowPunct/>
        <w:autoSpaceDE/>
        <w:autoSpaceDN/>
        <w:adjustRightInd/>
        <w:spacing w:after="0" w:line="259" w:lineRule="auto"/>
        <w:ind w:firstLineChars="0"/>
        <w:contextualSpacing/>
        <w:textAlignment w:val="auto"/>
        <w:rPr>
          <w:sz w:val="22"/>
          <w:szCs w:val="16"/>
          <w:lang w:val="en-US"/>
        </w:rPr>
      </w:pPr>
      <w:r w:rsidRPr="000371F4">
        <w:rPr>
          <w:sz w:val="22"/>
          <w:szCs w:val="16"/>
          <w:lang w:val="en-US"/>
        </w:rPr>
        <w:t xml:space="preserve">960 kHz SCS is needed to support 2.16 GHz CBW without CA. </w:t>
      </w:r>
    </w:p>
    <w:p w14:paraId="2BC871FA" w14:textId="77777777" w:rsidR="00933174" w:rsidRDefault="00933174" w:rsidP="00933174">
      <w:pPr>
        <w:pStyle w:val="ListParagraph"/>
        <w:numPr>
          <w:ilvl w:val="0"/>
          <w:numId w:val="21"/>
        </w:numPr>
        <w:overflowPunct/>
        <w:autoSpaceDE/>
        <w:autoSpaceDN/>
        <w:adjustRightInd/>
        <w:spacing w:after="0" w:line="259" w:lineRule="auto"/>
        <w:ind w:firstLineChars="0"/>
        <w:contextualSpacing/>
        <w:textAlignment w:val="auto"/>
        <w:rPr>
          <w:sz w:val="22"/>
          <w:szCs w:val="16"/>
        </w:rPr>
      </w:pPr>
      <w:r>
        <w:rPr>
          <w:sz w:val="22"/>
          <w:szCs w:val="16"/>
        </w:rPr>
        <w:t xml:space="preserve">480 kHz SCS requires two CCs </w:t>
      </w:r>
    </w:p>
    <w:p w14:paraId="1CD92810" w14:textId="1DADF562" w:rsidR="00933174" w:rsidRPr="00806C90" w:rsidRDefault="00933174" w:rsidP="00806C90">
      <w:pPr>
        <w:pStyle w:val="ListParagraph"/>
        <w:numPr>
          <w:ilvl w:val="0"/>
          <w:numId w:val="21"/>
        </w:numPr>
        <w:overflowPunct/>
        <w:autoSpaceDE/>
        <w:autoSpaceDN/>
        <w:adjustRightInd/>
        <w:spacing w:after="0" w:line="259" w:lineRule="auto"/>
        <w:ind w:firstLineChars="0"/>
        <w:contextualSpacing/>
        <w:textAlignment w:val="auto"/>
        <w:rPr>
          <w:sz w:val="22"/>
          <w:szCs w:val="16"/>
        </w:rPr>
      </w:pPr>
      <w:r>
        <w:rPr>
          <w:sz w:val="22"/>
          <w:szCs w:val="16"/>
        </w:rPr>
        <w:t>120 kHz SCS requires 5 CCs.</w:t>
      </w:r>
    </w:p>
    <w:p w14:paraId="01A81F26" w14:textId="3384D2EC" w:rsidR="00933174" w:rsidRPr="00806C90" w:rsidRDefault="00933174" w:rsidP="00806C90">
      <w:pPr>
        <w:rPr>
          <w:lang w:val="en-US"/>
        </w:rPr>
      </w:pPr>
      <w:r w:rsidRPr="000371F4">
        <w:rPr>
          <w:szCs w:val="16"/>
          <w:lang w:val="en-US"/>
        </w:rPr>
        <w:t>Minimizing the number CCs will reduce both the system complexity and overhead</w:t>
      </w:r>
      <w:r>
        <w:rPr>
          <w:szCs w:val="16"/>
          <w:lang w:val="en-US"/>
        </w:rPr>
        <w:t xml:space="preserve"> (e.g. guard band)</w:t>
      </w:r>
      <w:r w:rsidRPr="000371F4">
        <w:rPr>
          <w:szCs w:val="16"/>
          <w:lang w:val="en-US"/>
        </w:rPr>
        <w:t>.</w:t>
      </w:r>
      <w:r w:rsidRPr="000371F4">
        <w:rPr>
          <w:lang w:val="en-US"/>
        </w:rPr>
        <w:t xml:space="preserve"> It will also influence UL coverage since MPR for different CA scenarios is much larger compared to that of single carrier transmission (the biggest MPR difference exists just between 1CC and 2CCs). This is the case </w:t>
      </w:r>
      <w:r w:rsidR="008F4C46" w:rsidRPr="000371F4">
        <w:rPr>
          <w:lang w:val="en-US"/>
        </w:rPr>
        <w:t>especially</w:t>
      </w:r>
      <w:r w:rsidRPr="000371F4">
        <w:rPr>
          <w:lang w:val="en-US"/>
        </w:rPr>
        <w:t xml:space="preserve"> when applying DFT-S-OFDM transmission in UL. </w:t>
      </w:r>
    </w:p>
    <w:p w14:paraId="29BFAB81" w14:textId="1EEBC932" w:rsidR="00933174" w:rsidRPr="000371F4" w:rsidRDefault="00933174" w:rsidP="00933174">
      <w:pPr>
        <w:pStyle w:val="Caption"/>
        <w:keepNext/>
        <w:jc w:val="center"/>
        <w:rPr>
          <w:lang w:val="en-US"/>
        </w:rPr>
      </w:pPr>
      <w:r w:rsidRPr="000371F4">
        <w:rPr>
          <w:lang w:val="en-US"/>
        </w:rPr>
        <w:t xml:space="preserve">Table </w:t>
      </w:r>
      <w:r>
        <w:fldChar w:fldCharType="begin"/>
      </w:r>
      <w:r w:rsidRPr="000371F4">
        <w:rPr>
          <w:lang w:val="en-US"/>
        </w:rPr>
        <w:instrText xml:space="preserve"> SEQ Table \* ARABIC </w:instrText>
      </w:r>
      <w:r>
        <w:fldChar w:fldCharType="separate"/>
      </w:r>
      <w:r w:rsidR="00A0307E">
        <w:rPr>
          <w:noProof/>
          <w:lang w:val="en-US"/>
        </w:rPr>
        <w:t>2</w:t>
      </w:r>
      <w:r>
        <w:fldChar w:fldCharType="end"/>
      </w:r>
      <w:r w:rsidRPr="000371F4">
        <w:rPr>
          <w:lang w:val="en-US"/>
        </w:rPr>
        <w:t>. # of component carriers needed to reach spectrum usage efficiency &gt; 90%, 2.16 GHz CBW.</w:t>
      </w:r>
    </w:p>
    <w:p w14:paraId="39233E45" w14:textId="77777777" w:rsidR="00933174" w:rsidRDefault="00933174" w:rsidP="00933174">
      <w:pPr>
        <w:spacing w:after="0"/>
        <w:jc w:val="center"/>
        <w:rPr>
          <w:szCs w:val="18"/>
        </w:rPr>
      </w:pPr>
      <w:r>
        <w:rPr>
          <w:noProof/>
        </w:rPr>
        <w:drawing>
          <wp:inline distT="0" distB="0" distL="0" distR="0" wp14:anchorId="34BFAF05" wp14:editId="0460CED7">
            <wp:extent cx="4124561" cy="810034"/>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4124561" cy="810034"/>
                    </a:xfrm>
                    <a:prstGeom prst="rect">
                      <a:avLst/>
                    </a:prstGeom>
                  </pic:spPr>
                </pic:pic>
              </a:graphicData>
            </a:graphic>
          </wp:inline>
        </w:drawing>
      </w:r>
    </w:p>
    <w:p w14:paraId="1818AA35" w14:textId="77777777" w:rsidR="00933174" w:rsidRDefault="00933174" w:rsidP="00933174">
      <w:pPr>
        <w:spacing w:after="0"/>
        <w:rPr>
          <w:szCs w:val="18"/>
        </w:rPr>
      </w:pPr>
    </w:p>
    <w:p w14:paraId="054679D7" w14:textId="3E9F3E65" w:rsidR="00933174" w:rsidRPr="000371F4" w:rsidRDefault="00933174" w:rsidP="00933174">
      <w:pPr>
        <w:rPr>
          <w:lang w:val="en-US"/>
        </w:rPr>
      </w:pPr>
      <w:r w:rsidRPr="000371F4">
        <w:rPr>
          <w:lang w:val="en-US"/>
        </w:rPr>
        <w:t xml:space="preserve">As shown in Table 2, carrier aggregation provides </w:t>
      </w:r>
      <w:r w:rsidR="00A35744" w:rsidRPr="000371F4">
        <w:rPr>
          <w:lang w:val="en-US"/>
        </w:rPr>
        <w:t>opportunities</w:t>
      </w:r>
      <w:r w:rsidRPr="000371F4">
        <w:rPr>
          <w:lang w:val="en-US"/>
        </w:rPr>
        <w:t xml:space="preserve"> for wideband operation with 120 kHz SCS (at the expense of implementation complexity &amp; overhead). Nevertheless, it allows maximal reuse of FR2 hardware in the scenarios where the phase noise is manageable. Furthermore, it provides efficient coexistence among UEs with different bandwidth capabilities. In order to support CA within a 2.16 GHz band, </w:t>
      </w:r>
      <w:r w:rsidRPr="000371F4">
        <w:rPr>
          <w:i/>
          <w:lang w:val="en-US"/>
        </w:rPr>
        <w:t>n x 400 MHz</w:t>
      </w:r>
      <w:r w:rsidRPr="000371F4">
        <w:rPr>
          <w:lang w:val="en-US"/>
        </w:rPr>
        <w:t xml:space="preserve"> BW capabilities need to be supported (</w:t>
      </w:r>
      <w:r w:rsidRPr="000371F4">
        <w:rPr>
          <w:i/>
          <w:lang w:val="en-US"/>
        </w:rPr>
        <w:t>n</w:t>
      </w:r>
      <w:r w:rsidR="00706034" w:rsidRPr="000371F4">
        <w:rPr>
          <w:i/>
          <w:lang w:val="en-US"/>
        </w:rPr>
        <w:t>= [</w:t>
      </w:r>
      <w:r w:rsidRPr="000371F4">
        <w:rPr>
          <w:i/>
          <w:lang w:val="en-US"/>
        </w:rPr>
        <w:t xml:space="preserve"> 2, 3, 4, 5])</w:t>
      </w:r>
      <w:r w:rsidRPr="000371F4">
        <w:rPr>
          <w:lang w:val="en-US"/>
        </w:rPr>
        <w:t xml:space="preserve">. </w:t>
      </w:r>
    </w:p>
    <w:p w14:paraId="7BBCE4A0" w14:textId="158793F3" w:rsidR="00933174" w:rsidRPr="00EA3936" w:rsidRDefault="00933174" w:rsidP="00933174">
      <w:pPr>
        <w:spacing w:after="0"/>
      </w:pPr>
      <w:r w:rsidRPr="000371F4">
        <w:rPr>
          <w:lang w:val="en-US"/>
        </w:rPr>
        <w:t xml:space="preserve">There are multiple 2.16 GHz chunks available at 60 GHz band. Based on that it makes sense to consider wideband operation involving multiple 2.16 GHz channels. One related question is: how many component carriers are needed to fill m*2.16 GHz with a reasonably high spectrum </w:t>
      </w:r>
      <w:r w:rsidR="00A35744" w:rsidRPr="000371F4">
        <w:rPr>
          <w:lang w:val="en-US"/>
        </w:rPr>
        <w:t>usage</w:t>
      </w:r>
      <w:r w:rsidRPr="000371F4">
        <w:rPr>
          <w:lang w:val="en-US"/>
        </w:rPr>
        <w:t xml:space="preserve"> efficiency (&gt;90%) and up-to 275 PRBs? </w:t>
      </w:r>
      <w:r w:rsidRPr="00EA3936">
        <w:t xml:space="preserve">This is considered in </w:t>
      </w:r>
      <w:r>
        <w:fldChar w:fldCharType="begin"/>
      </w:r>
      <w:r w:rsidRPr="00EA3936">
        <w:instrText xml:space="preserve"> REF _Ref52969700 \h </w:instrText>
      </w:r>
      <w:r>
        <w:fldChar w:fldCharType="separate"/>
      </w:r>
      <w:r w:rsidR="00A0307E" w:rsidRPr="000371F4">
        <w:rPr>
          <w:lang w:val="en-US"/>
        </w:rPr>
        <w:t xml:space="preserve">Figure </w:t>
      </w:r>
      <w:r w:rsidR="00A0307E">
        <w:rPr>
          <w:noProof/>
          <w:lang w:val="en-US"/>
        </w:rPr>
        <w:t>2</w:t>
      </w:r>
      <w:r>
        <w:fldChar w:fldCharType="end"/>
      </w:r>
      <w:r w:rsidRPr="00EA3936">
        <w:t xml:space="preserve"> and it shows that 960 kHz SCS requires considerably smaller number of CCs compared to 480 kHz SCS. </w:t>
      </w:r>
    </w:p>
    <w:p w14:paraId="189BBED2" w14:textId="77777777" w:rsidR="00933174" w:rsidRPr="00EA3936" w:rsidRDefault="00933174" w:rsidP="00933174">
      <w:pPr>
        <w:spacing w:after="0"/>
        <w:rPr>
          <w:szCs w:val="18"/>
        </w:rPr>
      </w:pPr>
      <w:r w:rsidRPr="00EA3936">
        <w:rPr>
          <w:szCs w:val="18"/>
        </w:rPr>
        <w:t xml:space="preserve">   </w:t>
      </w:r>
    </w:p>
    <w:p w14:paraId="29F438F6" w14:textId="77777777" w:rsidR="00933174" w:rsidRDefault="00933174" w:rsidP="00933174">
      <w:pPr>
        <w:keepNext/>
        <w:spacing w:after="0"/>
        <w:jc w:val="center"/>
      </w:pPr>
      <w:r>
        <w:rPr>
          <w:noProof/>
        </w:rPr>
        <w:drawing>
          <wp:inline distT="0" distB="0" distL="0" distR="0" wp14:anchorId="71B9CF22" wp14:editId="576E3C5D">
            <wp:extent cx="434340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20">
                      <a:extLst>
                        <a:ext uri="{28A0092B-C50C-407E-A947-70E740481C1C}">
                          <a14:useLocalDpi xmlns:a14="http://schemas.microsoft.com/office/drawing/2010/main" val="0"/>
                        </a:ext>
                      </a:extLst>
                    </a:blip>
                    <a:srcRect l="2822" t="3277" r="2572" b="7440"/>
                    <a:stretch/>
                  </pic:blipFill>
                  <pic:spPr bwMode="auto">
                    <a:xfrm>
                      <a:off x="0" y="0"/>
                      <a:ext cx="4343402" cy="2491741"/>
                    </a:xfrm>
                    <a:prstGeom prst="rect">
                      <a:avLst/>
                    </a:prstGeom>
                    <a:ln>
                      <a:noFill/>
                    </a:ln>
                    <a:extLst>
                      <a:ext uri="{53640926-AAD7-44D8-BBD7-CCE9431645EC}">
                        <a14:shadowObscured xmlns:a14="http://schemas.microsoft.com/office/drawing/2010/main"/>
                      </a:ext>
                    </a:extLst>
                  </pic:spPr>
                </pic:pic>
              </a:graphicData>
            </a:graphic>
          </wp:inline>
        </w:drawing>
      </w:r>
    </w:p>
    <w:p w14:paraId="1939F176" w14:textId="646E734A" w:rsidR="00933174" w:rsidRPr="000371F4" w:rsidRDefault="00933174" w:rsidP="00933174">
      <w:pPr>
        <w:pStyle w:val="Caption"/>
        <w:jc w:val="center"/>
        <w:rPr>
          <w:szCs w:val="18"/>
          <w:lang w:val="en-US"/>
        </w:rPr>
      </w:pPr>
      <w:bookmarkStart w:id="0" w:name="_Ref52969700"/>
      <w:r w:rsidRPr="000371F4">
        <w:rPr>
          <w:lang w:val="en-US"/>
        </w:rPr>
        <w:t xml:space="preserve">Figure </w:t>
      </w:r>
      <w:r>
        <w:fldChar w:fldCharType="begin"/>
      </w:r>
      <w:r w:rsidRPr="000371F4">
        <w:rPr>
          <w:lang w:val="en-US"/>
        </w:rPr>
        <w:instrText xml:space="preserve"> SEQ Figure \* ARABIC </w:instrText>
      </w:r>
      <w:r>
        <w:fldChar w:fldCharType="separate"/>
      </w:r>
      <w:r w:rsidR="00A0307E">
        <w:rPr>
          <w:noProof/>
          <w:lang w:val="en-US"/>
        </w:rPr>
        <w:t>2</w:t>
      </w:r>
      <w:r>
        <w:fldChar w:fldCharType="end"/>
      </w:r>
      <w:bookmarkEnd w:id="0"/>
      <w:r w:rsidRPr="000371F4">
        <w:rPr>
          <w:lang w:val="en-US"/>
        </w:rPr>
        <w:t>. Number of CCs needed to support a wide channel BW.</w:t>
      </w:r>
    </w:p>
    <w:p w14:paraId="5EF10944" w14:textId="77777777" w:rsidR="00933174" w:rsidRPr="000371F4" w:rsidRDefault="00933174" w:rsidP="00933174">
      <w:pPr>
        <w:spacing w:after="0"/>
        <w:rPr>
          <w:szCs w:val="18"/>
          <w:lang w:val="en-US"/>
        </w:rPr>
      </w:pPr>
      <w:r w:rsidRPr="000371F4">
        <w:rPr>
          <w:szCs w:val="18"/>
          <w:lang w:val="en-US"/>
        </w:rPr>
        <w:lastRenderedPageBreak/>
        <w:t xml:space="preserve"> </w:t>
      </w:r>
    </w:p>
    <w:p w14:paraId="5FFD67E4" w14:textId="529A5DD4" w:rsidR="00933174" w:rsidRPr="00DA21D6" w:rsidRDefault="00933174" w:rsidP="00933174">
      <w:pPr>
        <w:spacing w:after="0"/>
        <w:rPr>
          <w:b/>
          <w:iCs/>
        </w:rPr>
      </w:pPr>
      <w:r w:rsidRPr="00DA21D6">
        <w:rPr>
          <w:b/>
          <w:iCs/>
          <w:lang w:val="en-US"/>
        </w:rPr>
        <w:t xml:space="preserve">Observation </w:t>
      </w:r>
      <w:r w:rsidR="00706034" w:rsidRPr="00DA21D6">
        <w:rPr>
          <w:b/>
          <w:iCs/>
          <w:lang w:val="en-US"/>
        </w:rPr>
        <w:t>2</w:t>
      </w:r>
      <w:r w:rsidRPr="00DA21D6">
        <w:rPr>
          <w:b/>
          <w:iCs/>
          <w:lang w:val="en-US"/>
        </w:rPr>
        <w:t>: For given band</w:t>
      </w:r>
      <w:r w:rsidRPr="00DA21D6">
        <w:rPr>
          <w:b/>
          <w:iCs/>
        </w:rPr>
        <w:t>wid</w:t>
      </w:r>
      <w:r w:rsidRPr="00DA21D6">
        <w:rPr>
          <w:b/>
          <w:iCs/>
          <w:lang w:val="en-US"/>
        </w:rPr>
        <w:t>th, 960 kHz SCS supports considerably smaller number of component carriers</w:t>
      </w:r>
      <w:r w:rsidR="007E6D0B" w:rsidRPr="00DA21D6">
        <w:rPr>
          <w:b/>
          <w:iCs/>
          <w:lang w:val="en-US"/>
        </w:rPr>
        <w:t xml:space="preserve"> (CC)</w:t>
      </w:r>
      <w:r w:rsidRPr="00DA21D6">
        <w:rPr>
          <w:b/>
          <w:iCs/>
          <w:lang w:val="en-US"/>
        </w:rPr>
        <w:t xml:space="preserve"> compared to 480 kHz SCS. </w:t>
      </w:r>
      <w:r w:rsidR="007E6D0B" w:rsidRPr="00DA21D6">
        <w:rPr>
          <w:b/>
          <w:iCs/>
          <w:lang w:val="en-US"/>
        </w:rPr>
        <w:t>Reduced number of CCs</w:t>
      </w:r>
      <w:r w:rsidRPr="00DA21D6">
        <w:rPr>
          <w:b/>
          <w:iCs/>
          <w:lang w:val="en-US"/>
        </w:rPr>
        <w:t xml:space="preserve"> allows for smaller system complexity, smaller system overhead and better RF efficiency</w:t>
      </w:r>
      <w:r w:rsidR="007E6D0B" w:rsidRPr="00DA21D6">
        <w:rPr>
          <w:b/>
          <w:iCs/>
          <w:lang w:val="en-US"/>
        </w:rPr>
        <w:t xml:space="preserve"> (e.g. lower MPR)</w:t>
      </w:r>
      <w:r w:rsidRPr="00DA21D6">
        <w:rPr>
          <w:b/>
          <w:iCs/>
          <w:lang w:val="en-US"/>
        </w:rPr>
        <w:t xml:space="preserve">.  </w:t>
      </w:r>
    </w:p>
    <w:p w14:paraId="17878F24" w14:textId="77777777" w:rsidR="00933174" w:rsidRPr="00DA21D6" w:rsidRDefault="00933174" w:rsidP="00933174">
      <w:pPr>
        <w:spacing w:after="0"/>
        <w:rPr>
          <w:b/>
          <w:iCs/>
          <w:lang w:val="en-US"/>
        </w:rPr>
      </w:pPr>
    </w:p>
    <w:p w14:paraId="468B0E7A" w14:textId="7F810C45" w:rsidR="00933174" w:rsidRPr="00DA21D6" w:rsidRDefault="00933174" w:rsidP="00933174">
      <w:pPr>
        <w:rPr>
          <w:b/>
          <w:iCs/>
          <w:lang w:val="en-US"/>
        </w:rPr>
      </w:pPr>
      <w:r w:rsidRPr="00DA21D6">
        <w:rPr>
          <w:b/>
          <w:iCs/>
          <w:lang w:val="en-US"/>
        </w:rPr>
        <w:t>Proposal 3: For operation without CA, support two CBWs: 400 MHz (120 kHz) and 2.16 GHz (960</w:t>
      </w:r>
      <w:r w:rsidR="00C66F60" w:rsidRPr="00DA21D6">
        <w:rPr>
          <w:b/>
          <w:iCs/>
          <w:lang w:val="en-US"/>
        </w:rPr>
        <w:t xml:space="preserve"> kHz</w:t>
      </w:r>
      <w:r w:rsidRPr="00DA21D6">
        <w:rPr>
          <w:b/>
          <w:iCs/>
          <w:lang w:val="en-US"/>
        </w:rPr>
        <w:t>)</w:t>
      </w:r>
    </w:p>
    <w:p w14:paraId="5FB73336" w14:textId="77777777" w:rsidR="00933174" w:rsidRPr="00DA21D6" w:rsidRDefault="00933174" w:rsidP="00933174">
      <w:pPr>
        <w:rPr>
          <w:b/>
          <w:iCs/>
          <w:lang w:val="en-US"/>
        </w:rPr>
      </w:pPr>
      <w:r w:rsidRPr="00DA21D6">
        <w:rPr>
          <w:b/>
          <w:iCs/>
          <w:lang w:val="en-US"/>
        </w:rPr>
        <w:t>Proposal 4:  Support CA within a 2.16 GHz channel, and between 2.16 GHz channels</w:t>
      </w:r>
    </w:p>
    <w:p w14:paraId="1234971B" w14:textId="19726A46" w:rsidR="00933174" w:rsidRPr="00DA21D6" w:rsidRDefault="00933174" w:rsidP="00933174">
      <w:pPr>
        <w:spacing w:after="0"/>
        <w:rPr>
          <w:b/>
          <w:iCs/>
          <w:lang w:val="en-US"/>
        </w:rPr>
      </w:pPr>
      <w:r w:rsidRPr="00DA21D6">
        <w:rPr>
          <w:b/>
          <w:iCs/>
          <w:lang w:val="en-US"/>
        </w:rPr>
        <w:t>Proposal 5:  Consider n x 400 MHz, n</w:t>
      </w:r>
      <w:r w:rsidR="00DB3EE1" w:rsidRPr="00DA21D6">
        <w:rPr>
          <w:b/>
          <w:iCs/>
          <w:lang w:val="en-US"/>
        </w:rPr>
        <w:t>= [</w:t>
      </w:r>
      <w:r w:rsidRPr="00DA21D6">
        <w:rPr>
          <w:b/>
          <w:iCs/>
          <w:lang w:val="en-US"/>
        </w:rPr>
        <w:t xml:space="preserve">2, 3, 4, 5] as the supported channel BW options for​ CA operation within a 2.16 GHz channel </w:t>
      </w:r>
    </w:p>
    <w:p w14:paraId="066A34F8" w14:textId="06959D49" w:rsidR="00D538CC" w:rsidRPr="00D538CC" w:rsidRDefault="00D538CC" w:rsidP="00933174">
      <w:pPr>
        <w:tabs>
          <w:tab w:val="left" w:pos="1896"/>
        </w:tabs>
        <w:spacing w:after="0"/>
        <w:rPr>
          <w:iCs/>
          <w:lang w:val="en-US" w:eastAsia="x-none"/>
        </w:rPr>
      </w:pPr>
    </w:p>
    <w:p w14:paraId="3A7886CD" w14:textId="13C0C4CA" w:rsidR="0012171E" w:rsidRPr="00B53A40" w:rsidRDefault="00065A7B" w:rsidP="005507CC">
      <w:pPr>
        <w:pStyle w:val="Heading1"/>
        <w:rPr>
          <w:lang w:val="en-US" w:eastAsia="zh-CN"/>
        </w:rPr>
      </w:pPr>
      <w:r w:rsidRPr="00B53A40">
        <w:rPr>
          <w:lang w:val="en-US" w:eastAsia="zh-CN"/>
        </w:rPr>
        <w:t>Conclusion</w:t>
      </w:r>
      <w:r w:rsidR="009E2215" w:rsidRPr="00B53A40">
        <w:rPr>
          <w:lang w:val="en-US" w:eastAsia="zh-CN"/>
        </w:rPr>
        <w:t xml:space="preserve"> </w:t>
      </w:r>
    </w:p>
    <w:p w14:paraId="065EDCEF" w14:textId="4CB30FAC" w:rsidR="009E2215" w:rsidRDefault="00DA21D6" w:rsidP="009E2215">
      <w:pPr>
        <w:rPr>
          <w:lang w:val="en-US" w:eastAsia="zh-CN"/>
        </w:rPr>
      </w:pPr>
      <w:r>
        <w:rPr>
          <w:lang w:val="en-US" w:eastAsia="zh-CN"/>
        </w:rPr>
        <w:t>In this contribution numerologies, channel bandwidths and channel arrangement for NR operation above 52.6 GHz was discussed. The following observations and proposals were made</w:t>
      </w:r>
    </w:p>
    <w:p w14:paraId="51B2BB58" w14:textId="77777777" w:rsidR="00DA21D6" w:rsidRPr="00DA21D6" w:rsidRDefault="00DA21D6" w:rsidP="00DA21D6">
      <w:pPr>
        <w:spacing w:after="0"/>
        <w:rPr>
          <w:b/>
          <w:iCs/>
          <w:lang w:val="en-US"/>
        </w:rPr>
      </w:pPr>
      <w:r w:rsidRPr="00DA21D6">
        <w:rPr>
          <w:b/>
          <w:iCs/>
          <w:lang w:val="en-US"/>
        </w:rPr>
        <w:t xml:space="preserve">Observation 1: </w:t>
      </w:r>
      <w:r w:rsidRPr="00DA21D6">
        <w:rPr>
          <w:b/>
          <w:iCs/>
        </w:rPr>
        <w:t xml:space="preserve">Considering specification effort, coexistence with WiGig indoors, low delay spread in coverage limited scenarios, and low implementation complexity, it seems that only one additional subcarrier spacing, particularly value of </w:t>
      </w:r>
      <w:r w:rsidRPr="00DA21D6">
        <w:rPr>
          <w:b/>
          <w:iCs/>
          <w:lang w:eastAsia="x-none"/>
        </w:rPr>
        <w:t>(</w:t>
      </w:r>
      <w:r w:rsidRPr="00DA21D6">
        <w:rPr>
          <w:rFonts w:eastAsia="Batang"/>
          <w:b/>
          <w:iCs/>
        </w:rPr>
        <w:t>µ=6)</w:t>
      </w:r>
      <w:r w:rsidRPr="00DA21D6">
        <w:rPr>
          <w:b/>
          <w:iCs/>
        </w:rPr>
        <w:t xml:space="preserve"> </w:t>
      </w:r>
      <w:r w:rsidRPr="00DA21D6">
        <w:rPr>
          <w:rFonts w:eastAsia="Batang"/>
          <w:b/>
          <w:iCs/>
        </w:rPr>
        <w:t>for physical data channels</w:t>
      </w:r>
      <w:r w:rsidRPr="00DA21D6">
        <w:rPr>
          <w:b/>
          <w:iCs/>
        </w:rPr>
        <w:t xml:space="preserve"> would be sufficient for 60 GHz scenario.</w:t>
      </w:r>
    </w:p>
    <w:p w14:paraId="02ED4C4E" w14:textId="072E0DB9" w:rsidR="00DA21D6" w:rsidRDefault="00DA21D6" w:rsidP="00DA21D6">
      <w:pPr>
        <w:rPr>
          <w:b/>
          <w:iCs/>
          <w:lang w:val="en-US"/>
        </w:rPr>
      </w:pPr>
    </w:p>
    <w:p w14:paraId="4D188DD5" w14:textId="77777777" w:rsidR="00DA21D6" w:rsidRPr="00DA21D6" w:rsidRDefault="00DA21D6" w:rsidP="00DA21D6">
      <w:pPr>
        <w:spacing w:after="0"/>
        <w:rPr>
          <w:b/>
          <w:iCs/>
        </w:rPr>
      </w:pPr>
      <w:r w:rsidRPr="00DA21D6">
        <w:rPr>
          <w:b/>
          <w:iCs/>
          <w:lang w:val="en-US"/>
        </w:rPr>
        <w:t>Observation 2: For given band</w:t>
      </w:r>
      <w:r w:rsidRPr="00DA21D6">
        <w:rPr>
          <w:b/>
          <w:iCs/>
        </w:rPr>
        <w:t>wid</w:t>
      </w:r>
      <w:r w:rsidRPr="00DA21D6">
        <w:rPr>
          <w:b/>
          <w:iCs/>
          <w:lang w:val="en-US"/>
        </w:rPr>
        <w:t xml:space="preserve">th, 960 kHz SCS supports considerably smaller number of component carriers (CC) compared to 480 kHz SCS. Reduced number of CCs allows for smaller system complexity, smaller system overhead and better RF efficiency (e.g. lower MPR).  </w:t>
      </w:r>
    </w:p>
    <w:p w14:paraId="7141B9B5" w14:textId="77777777" w:rsidR="00DA21D6" w:rsidRDefault="00DA21D6" w:rsidP="00DA21D6">
      <w:pPr>
        <w:rPr>
          <w:b/>
          <w:iCs/>
          <w:lang w:val="en-US"/>
        </w:rPr>
      </w:pPr>
    </w:p>
    <w:p w14:paraId="1FD4C1F0" w14:textId="47C8F1B3" w:rsidR="00DA21D6" w:rsidRPr="00DA21D6" w:rsidRDefault="00DA21D6" w:rsidP="00DA21D6">
      <w:pPr>
        <w:rPr>
          <w:b/>
          <w:iCs/>
          <w:lang w:val="en-US"/>
        </w:rPr>
      </w:pPr>
      <w:r w:rsidRPr="00DA21D6">
        <w:rPr>
          <w:b/>
          <w:iCs/>
          <w:lang w:val="en-US"/>
        </w:rPr>
        <w:t>Proposal 1: Define channelization according to 2.16 GHz CBW, which is preferred from coexistence point of view.</w:t>
      </w:r>
    </w:p>
    <w:p w14:paraId="4020DCF1" w14:textId="77777777" w:rsidR="00DA21D6" w:rsidRPr="00DA21D6" w:rsidRDefault="00DA21D6" w:rsidP="00DA21D6">
      <w:pPr>
        <w:rPr>
          <w:b/>
          <w:iCs/>
          <w:lang w:val="en-US"/>
        </w:rPr>
      </w:pPr>
      <w:r w:rsidRPr="00DA21D6">
        <w:rPr>
          <w:b/>
          <w:iCs/>
          <w:lang w:val="en-US"/>
        </w:rPr>
        <w:t>Proposal 2: Support sub-channelization for 2.16 GHz channels to facilitate smooth coexistence for narrowband operation.</w:t>
      </w:r>
    </w:p>
    <w:p w14:paraId="6846D0D0" w14:textId="77777777" w:rsidR="00DA21D6" w:rsidRPr="00DA21D6" w:rsidRDefault="00DA21D6" w:rsidP="00DA21D6">
      <w:pPr>
        <w:rPr>
          <w:b/>
          <w:iCs/>
          <w:lang w:val="en-US"/>
        </w:rPr>
      </w:pPr>
      <w:r w:rsidRPr="00DA21D6">
        <w:rPr>
          <w:b/>
          <w:iCs/>
          <w:lang w:val="en-US"/>
        </w:rPr>
        <w:t>Proposal 3: For operation without CA, support two CBWs: 400 MHz (120 kHz) and 2.16 GHz (960 kHz)</w:t>
      </w:r>
    </w:p>
    <w:p w14:paraId="7FC5B132" w14:textId="77777777" w:rsidR="00DA21D6" w:rsidRPr="00DA21D6" w:rsidRDefault="00DA21D6" w:rsidP="00DA21D6">
      <w:pPr>
        <w:rPr>
          <w:b/>
          <w:iCs/>
          <w:lang w:val="en-US"/>
        </w:rPr>
      </w:pPr>
      <w:r w:rsidRPr="00DA21D6">
        <w:rPr>
          <w:b/>
          <w:iCs/>
          <w:lang w:val="en-US"/>
        </w:rPr>
        <w:t>Proposal 4:  Support CA within a 2.16 GHz channel, and between 2.16 GHz channels</w:t>
      </w:r>
    </w:p>
    <w:p w14:paraId="5E2BD21C" w14:textId="77777777" w:rsidR="00DA21D6" w:rsidRPr="00DA21D6" w:rsidRDefault="00DA21D6" w:rsidP="00DA21D6">
      <w:pPr>
        <w:spacing w:after="0"/>
        <w:rPr>
          <w:b/>
          <w:iCs/>
          <w:lang w:val="en-US"/>
        </w:rPr>
      </w:pPr>
      <w:r w:rsidRPr="00DA21D6">
        <w:rPr>
          <w:b/>
          <w:iCs/>
          <w:lang w:val="en-US"/>
        </w:rPr>
        <w:t xml:space="preserve">Proposal 5:  Consider n x 400 MHz, n= [2, 3, 4, 5] as the supported channel BW options for​ CA operation within a 2.16 GHz channel </w:t>
      </w:r>
    </w:p>
    <w:p w14:paraId="6728B5D6" w14:textId="77777777" w:rsidR="00DA21D6" w:rsidRPr="00DA21D6" w:rsidRDefault="00DA21D6" w:rsidP="009E2215">
      <w:pPr>
        <w:rPr>
          <w:lang w:val="en-US" w:eastAsia="zh-CN"/>
        </w:rPr>
      </w:pPr>
    </w:p>
    <w:p w14:paraId="484E4384" w14:textId="51028002" w:rsidR="00656EE7" w:rsidRPr="00B53A40" w:rsidRDefault="00065A7B" w:rsidP="00065A7B">
      <w:pPr>
        <w:pStyle w:val="Heading1"/>
        <w:numPr>
          <w:ilvl w:val="0"/>
          <w:numId w:val="0"/>
        </w:numPr>
        <w:rPr>
          <w:lang w:val="en-US" w:eastAsia="ja-JP"/>
        </w:rPr>
      </w:pPr>
      <w:r w:rsidRPr="00B53A40">
        <w:rPr>
          <w:lang w:val="en-US" w:eastAsia="ja-JP"/>
        </w:rPr>
        <w:t>References</w:t>
      </w:r>
      <w:r w:rsidR="00904574" w:rsidRPr="00B53A40">
        <w:rPr>
          <w:lang w:val="en-US" w:eastAsia="ja-JP"/>
        </w:rPr>
        <w:t xml:space="preserve"> </w:t>
      </w:r>
    </w:p>
    <w:p w14:paraId="39AB2686" w14:textId="77777777" w:rsidR="00E74969" w:rsidRPr="00B53A40" w:rsidRDefault="00E74969" w:rsidP="00E74969">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1" w:name="_Ref31097917"/>
      <w:bookmarkStart w:id="2" w:name="_Ref31097847"/>
      <w:r w:rsidRPr="00B53A40">
        <w:rPr>
          <w:lang w:val="en-US"/>
        </w:rPr>
        <w:t>RP-193259, “</w:t>
      </w:r>
      <w:r w:rsidRPr="00B53A40">
        <w:rPr>
          <w:i/>
          <w:lang w:val="en-US"/>
        </w:rPr>
        <w:t>New SID: Study on supporting NR from 52.6GHz to 71 GHz</w:t>
      </w:r>
      <w:r w:rsidRPr="00B53A40">
        <w:rPr>
          <w:lang w:val="en-US"/>
        </w:rPr>
        <w:t>”, Intel Corporation</w:t>
      </w:r>
      <w:bookmarkEnd w:id="1"/>
    </w:p>
    <w:p w14:paraId="75F1BC4A" w14:textId="6021A45D" w:rsidR="00E74969" w:rsidRPr="00B53A40" w:rsidRDefault="00E74969" w:rsidP="00E74969">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3" w:name="_Ref31097951"/>
      <w:r w:rsidRPr="00B53A40">
        <w:rPr>
          <w:lang w:val="en-US"/>
        </w:rPr>
        <w:t>TR 38.807, “</w:t>
      </w:r>
      <w:r w:rsidRPr="00B53A40">
        <w:rPr>
          <w:i/>
          <w:iCs/>
          <w:lang w:val="en-US"/>
        </w:rPr>
        <w:t>Study on requirements for NR beyond 52.6 GHz</w:t>
      </w:r>
      <w:r w:rsidRPr="00B53A40">
        <w:rPr>
          <w:lang w:val="en-US"/>
        </w:rPr>
        <w:t>”, 3GPP</w:t>
      </w:r>
      <w:bookmarkEnd w:id="2"/>
      <w:bookmarkEnd w:id="3"/>
    </w:p>
    <w:p w14:paraId="67F5A6DD" w14:textId="200A0FA7" w:rsidR="00065A7B" w:rsidRDefault="003E2003" w:rsidP="00B53A40">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4" w:name="_Ref53500542"/>
      <w:r>
        <w:rPr>
          <w:lang w:val="en-US"/>
        </w:rPr>
        <w:t>R4-2011838, “WF on numerologies for FS_NR_52_to_71GHz”, Intel Corporation</w:t>
      </w:r>
      <w:bookmarkEnd w:id="4"/>
    </w:p>
    <w:p w14:paraId="3D072F51" w14:textId="026AB7BA" w:rsidR="00F96BD9" w:rsidRDefault="00F96BD9" w:rsidP="00B53A40">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5" w:name="_Ref53573861"/>
      <w:r>
        <w:rPr>
          <w:lang w:val="en-US"/>
        </w:rPr>
        <w:t>R4-20</w:t>
      </w:r>
      <w:r w:rsidR="005A0EEE">
        <w:rPr>
          <w:lang w:val="en-US"/>
        </w:rPr>
        <w:t>15443</w:t>
      </w:r>
      <w:r>
        <w:rPr>
          <w:lang w:val="en-US"/>
        </w:rPr>
        <w:t>, “</w:t>
      </w:r>
      <w:r w:rsidR="005A0EEE">
        <w:rPr>
          <w:lang w:val="en-US"/>
        </w:rPr>
        <w:t xml:space="preserve">Draft LS: </w:t>
      </w:r>
      <w:bookmarkStart w:id="6" w:name="_GoBack"/>
      <w:bookmarkEnd w:id="6"/>
      <w:r w:rsidRPr="00F96BD9">
        <w:rPr>
          <w:lang w:val="en-US"/>
        </w:rPr>
        <w:t>Phase noise and RF impairment considerations</w:t>
      </w:r>
      <w:r>
        <w:rPr>
          <w:lang w:val="en-US"/>
        </w:rPr>
        <w:t>”, Nokia, Nokia Bell Labs</w:t>
      </w:r>
      <w:bookmarkEnd w:id="5"/>
    </w:p>
    <w:p w14:paraId="4754DAC3" w14:textId="77777777" w:rsidR="005E6457" w:rsidRPr="00EA3936" w:rsidRDefault="005E6457" w:rsidP="005E6457">
      <w:pPr>
        <w:pStyle w:val="ListParagraph"/>
        <w:numPr>
          <w:ilvl w:val="0"/>
          <w:numId w:val="19"/>
        </w:numPr>
        <w:overflowPunct/>
        <w:autoSpaceDE/>
        <w:autoSpaceDN/>
        <w:adjustRightInd/>
        <w:spacing w:after="0" w:line="259" w:lineRule="auto"/>
        <w:ind w:firstLineChars="0"/>
        <w:contextualSpacing/>
        <w:textAlignment w:val="auto"/>
      </w:pPr>
      <w:bookmarkStart w:id="7" w:name="_Ref53572684"/>
      <w:r w:rsidRPr="00EA3936">
        <w:t>R1-2003813, “</w:t>
      </w:r>
      <w:r w:rsidRPr="00EA3936">
        <w:rPr>
          <w:i/>
        </w:rPr>
        <w:t>Performance of existing DL NR waveform at beyond 52.6 GHz</w:t>
      </w:r>
      <w:r w:rsidRPr="00EA3936">
        <w:t>”, Nokia, Nokia Shanghai Bell.</w:t>
      </w:r>
      <w:bookmarkEnd w:id="7"/>
    </w:p>
    <w:p w14:paraId="2930B022" w14:textId="77777777" w:rsidR="003E2003" w:rsidRPr="00DA21D6" w:rsidRDefault="003E2003" w:rsidP="00DA21D6">
      <w:pPr>
        <w:spacing w:after="0" w:line="259" w:lineRule="auto"/>
        <w:contextualSpacing/>
        <w:rPr>
          <w:lang w:val="en-US"/>
        </w:rPr>
      </w:pPr>
    </w:p>
    <w:p w14:paraId="2455DDCC" w14:textId="0D2A9927" w:rsidR="00B77B0C" w:rsidRPr="00B53A40" w:rsidRDefault="00B77B0C" w:rsidP="00B77B0C">
      <w:pPr>
        <w:spacing w:after="0" w:line="259" w:lineRule="auto"/>
        <w:contextualSpacing/>
        <w:rPr>
          <w:lang w:val="en-US"/>
        </w:rPr>
      </w:pPr>
    </w:p>
    <w:p w14:paraId="2200408F" w14:textId="77777777" w:rsidR="005507CC" w:rsidRPr="00B53A40" w:rsidRDefault="005507CC" w:rsidP="00B77B0C">
      <w:pPr>
        <w:spacing w:after="0" w:line="259" w:lineRule="auto"/>
        <w:contextualSpacing/>
        <w:rPr>
          <w:lang w:val="en-US"/>
        </w:rPr>
      </w:pPr>
    </w:p>
    <w:sectPr w:rsidR="005507CC" w:rsidRPr="00B53A4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E36EC" w14:textId="77777777" w:rsidR="000138AE" w:rsidRDefault="000138AE" w:rsidP="001E365C">
      <w:pPr>
        <w:spacing w:after="0"/>
      </w:pPr>
      <w:r>
        <w:separator/>
      </w:r>
    </w:p>
  </w:endnote>
  <w:endnote w:type="continuationSeparator" w:id="0">
    <w:p w14:paraId="1CFAB59C" w14:textId="77777777" w:rsidR="000138AE" w:rsidRDefault="000138AE" w:rsidP="001E365C">
      <w:pPr>
        <w:spacing w:after="0"/>
      </w:pPr>
      <w:r>
        <w:continuationSeparator/>
      </w:r>
    </w:p>
  </w:endnote>
  <w:endnote w:type="continuationNotice" w:id="1">
    <w:p w14:paraId="36FD94B3" w14:textId="77777777" w:rsidR="000138AE" w:rsidRDefault="00013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a14="http://schemas.microsoft.com/office/drawing/2010/main" xmlns:a="http://schemas.openxmlformats.org/drawingml/2006/main" xmlns:w16="http://schemas.microsoft.com/office/word/2018/wordml" xmlns:w16cex="http://schemas.microsoft.com/office/word/2018/wordml/cex">
          <w:pict w14:anchorId="313BB0CD">
            <v:shapetype id="_x0000_t202" coordsize="21600,21600" o:spt="202" path="m,l,21600r21600,l21600,xe" w14:anchorId="367EFB28">
              <v:stroke joinstyle="miter"/>
              <v:path gradientshapeok="t" o:connecttype="rect"/>
            </v:shapetype>
            <v:shape id="MSIPCM5788478dbf7b40ce642f1704"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2.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v:textbox inset="20pt,0,,0">
                <w:txbxContent>
                  <w:p w:rsidRPr="002C23F3" w:rsidR="002C23F3" w:rsidP="002C23F3" w:rsidRDefault="002C23F3" w14:paraId="672A6659" w14:textId="350F1A55">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1A92" w14:textId="77777777" w:rsidR="000138AE" w:rsidRDefault="000138AE" w:rsidP="001E365C">
      <w:pPr>
        <w:spacing w:after="0"/>
      </w:pPr>
      <w:r>
        <w:separator/>
      </w:r>
    </w:p>
  </w:footnote>
  <w:footnote w:type="continuationSeparator" w:id="0">
    <w:p w14:paraId="70F11054" w14:textId="77777777" w:rsidR="000138AE" w:rsidRDefault="000138AE" w:rsidP="001E365C">
      <w:pPr>
        <w:spacing w:after="0"/>
      </w:pPr>
      <w:r>
        <w:continuationSeparator/>
      </w:r>
    </w:p>
  </w:footnote>
  <w:footnote w:type="continuationNotice" w:id="1">
    <w:p w14:paraId="52CDF50B" w14:textId="77777777" w:rsidR="000138AE" w:rsidRDefault="00013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22B89"/>
    <w:multiLevelType w:val="hybridMultilevel"/>
    <w:tmpl w:val="C28AB4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2D03A54"/>
    <w:multiLevelType w:val="hybridMultilevel"/>
    <w:tmpl w:val="22D03A54"/>
    <w:lvl w:ilvl="0" w:tplc="30FCAC9E">
      <w:start w:val="1"/>
      <w:numFmt w:val="bullet"/>
      <w:lvlText w:val=""/>
      <w:lvlJc w:val="left"/>
      <w:pPr>
        <w:ind w:left="720" w:hanging="360"/>
      </w:pPr>
      <w:rPr>
        <w:rFonts w:ascii="Symbol" w:hAnsi="Symbol" w:hint="default"/>
      </w:rPr>
    </w:lvl>
    <w:lvl w:ilvl="1" w:tplc="DAF8FA06">
      <w:start w:val="1"/>
      <w:numFmt w:val="bullet"/>
      <w:lvlText w:val="o"/>
      <w:lvlJc w:val="left"/>
      <w:pPr>
        <w:ind w:left="1440" w:hanging="360"/>
      </w:pPr>
      <w:rPr>
        <w:rFonts w:ascii="Courier New" w:hAnsi="Courier New" w:cs="Courier New" w:hint="default"/>
      </w:rPr>
    </w:lvl>
    <w:lvl w:ilvl="2" w:tplc="3CB2F19C">
      <w:start w:val="1"/>
      <w:numFmt w:val="bullet"/>
      <w:lvlText w:val=""/>
      <w:lvlJc w:val="left"/>
      <w:pPr>
        <w:ind w:left="2160" w:hanging="360"/>
      </w:pPr>
      <w:rPr>
        <w:rFonts w:ascii="Wingdings" w:hAnsi="Wingdings" w:hint="default"/>
      </w:rPr>
    </w:lvl>
    <w:lvl w:ilvl="3" w:tplc="8712548A">
      <w:start w:val="1"/>
      <w:numFmt w:val="bullet"/>
      <w:lvlText w:val=""/>
      <w:lvlJc w:val="left"/>
      <w:pPr>
        <w:ind w:left="2880" w:hanging="360"/>
      </w:pPr>
      <w:rPr>
        <w:rFonts w:ascii="Symbol" w:hAnsi="Symbol" w:hint="default"/>
      </w:rPr>
    </w:lvl>
    <w:lvl w:ilvl="4" w:tplc="C114A650">
      <w:start w:val="1"/>
      <w:numFmt w:val="bullet"/>
      <w:lvlText w:val="o"/>
      <w:lvlJc w:val="left"/>
      <w:pPr>
        <w:ind w:left="3600" w:hanging="360"/>
      </w:pPr>
      <w:rPr>
        <w:rFonts w:ascii="Courier New" w:hAnsi="Courier New" w:cs="Courier New" w:hint="default"/>
      </w:rPr>
    </w:lvl>
    <w:lvl w:ilvl="5" w:tplc="E73ECB46">
      <w:start w:val="1"/>
      <w:numFmt w:val="bullet"/>
      <w:lvlText w:val=""/>
      <w:lvlJc w:val="left"/>
      <w:pPr>
        <w:ind w:left="4320" w:hanging="360"/>
      </w:pPr>
      <w:rPr>
        <w:rFonts w:ascii="Wingdings" w:hAnsi="Wingdings" w:hint="default"/>
      </w:rPr>
    </w:lvl>
    <w:lvl w:ilvl="6" w:tplc="BDD05BE6">
      <w:start w:val="1"/>
      <w:numFmt w:val="bullet"/>
      <w:lvlText w:val=""/>
      <w:lvlJc w:val="left"/>
      <w:pPr>
        <w:ind w:left="5040" w:hanging="360"/>
      </w:pPr>
      <w:rPr>
        <w:rFonts w:ascii="Symbol" w:hAnsi="Symbol" w:hint="default"/>
      </w:rPr>
    </w:lvl>
    <w:lvl w:ilvl="7" w:tplc="10A022B8">
      <w:start w:val="1"/>
      <w:numFmt w:val="bullet"/>
      <w:lvlText w:val="o"/>
      <w:lvlJc w:val="left"/>
      <w:pPr>
        <w:ind w:left="5760" w:hanging="360"/>
      </w:pPr>
      <w:rPr>
        <w:rFonts w:ascii="Courier New" w:hAnsi="Courier New" w:cs="Courier New" w:hint="default"/>
      </w:rPr>
    </w:lvl>
    <w:lvl w:ilvl="8" w:tplc="50262DBC">
      <w:start w:val="1"/>
      <w:numFmt w:val="bullet"/>
      <w:lvlText w:val=""/>
      <w:lvlJc w:val="left"/>
      <w:pPr>
        <w:ind w:left="6480" w:hanging="360"/>
      </w:pPr>
      <w:rPr>
        <w:rFonts w:ascii="Wingdings" w:hAnsi="Wingdings" w:hint="default"/>
      </w:rPr>
    </w:lvl>
  </w:abstractNum>
  <w:abstractNum w:abstractNumId="8"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D37A3D"/>
    <w:multiLevelType w:val="multilevel"/>
    <w:tmpl w:val="C16CF60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1" w15:restartNumberingAfterBreak="0">
    <w:nsid w:val="4A770EBB"/>
    <w:multiLevelType w:val="hybridMultilevel"/>
    <w:tmpl w:val="4A770EBB"/>
    <w:lvl w:ilvl="0" w:tplc="42CE2410">
      <w:start w:val="1"/>
      <w:numFmt w:val="decimal"/>
      <w:lvlText w:val="%1)"/>
      <w:lvlJc w:val="left"/>
      <w:pPr>
        <w:ind w:left="360" w:hanging="360"/>
      </w:pPr>
      <w:rPr>
        <w:rFonts w:hint="default"/>
      </w:rPr>
    </w:lvl>
    <w:lvl w:ilvl="1" w:tplc="FD5E8432">
      <w:start w:val="1"/>
      <w:numFmt w:val="lowerLetter"/>
      <w:lvlText w:val="%2)"/>
      <w:lvlJc w:val="left"/>
      <w:pPr>
        <w:ind w:left="840" w:hanging="420"/>
      </w:pPr>
    </w:lvl>
    <w:lvl w:ilvl="2" w:tplc="03E49442">
      <w:start w:val="1"/>
      <w:numFmt w:val="lowerRoman"/>
      <w:lvlText w:val="%3."/>
      <w:lvlJc w:val="right"/>
      <w:pPr>
        <w:ind w:left="1260" w:hanging="420"/>
      </w:pPr>
    </w:lvl>
    <w:lvl w:ilvl="3" w:tplc="2AFC65BE">
      <w:start w:val="1"/>
      <w:numFmt w:val="decimal"/>
      <w:lvlText w:val="%4."/>
      <w:lvlJc w:val="left"/>
      <w:pPr>
        <w:ind w:left="1680" w:hanging="420"/>
      </w:pPr>
    </w:lvl>
    <w:lvl w:ilvl="4" w:tplc="C47427C6">
      <w:start w:val="1"/>
      <w:numFmt w:val="lowerLetter"/>
      <w:lvlText w:val="%5)"/>
      <w:lvlJc w:val="left"/>
      <w:pPr>
        <w:ind w:left="2100" w:hanging="420"/>
      </w:pPr>
    </w:lvl>
    <w:lvl w:ilvl="5" w:tplc="2F52AC3A">
      <w:start w:val="1"/>
      <w:numFmt w:val="lowerRoman"/>
      <w:lvlText w:val="%6."/>
      <w:lvlJc w:val="right"/>
      <w:pPr>
        <w:ind w:left="2520" w:hanging="420"/>
      </w:pPr>
    </w:lvl>
    <w:lvl w:ilvl="6" w:tplc="D81C5970">
      <w:start w:val="1"/>
      <w:numFmt w:val="decimal"/>
      <w:lvlText w:val="%7."/>
      <w:lvlJc w:val="left"/>
      <w:pPr>
        <w:ind w:left="2940" w:hanging="420"/>
      </w:pPr>
    </w:lvl>
    <w:lvl w:ilvl="7" w:tplc="92404A2A">
      <w:start w:val="1"/>
      <w:numFmt w:val="lowerLetter"/>
      <w:lvlText w:val="%8)"/>
      <w:lvlJc w:val="left"/>
      <w:pPr>
        <w:ind w:left="3360" w:hanging="420"/>
      </w:pPr>
    </w:lvl>
    <w:lvl w:ilvl="8" w:tplc="AC0AAE72">
      <w:start w:val="1"/>
      <w:numFmt w:val="lowerRoman"/>
      <w:lvlText w:val="%9."/>
      <w:lvlJc w:val="right"/>
      <w:pPr>
        <w:ind w:left="3780" w:hanging="420"/>
      </w:pPr>
    </w:lvl>
  </w:abstractNum>
  <w:abstractNum w:abstractNumId="12"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EDF6DBD"/>
    <w:multiLevelType w:val="hybridMultilevel"/>
    <w:tmpl w:val="5EDF6DBD"/>
    <w:lvl w:ilvl="0" w:tplc="A0460FEA">
      <w:start w:val="4"/>
      <w:numFmt w:val="bullet"/>
      <w:lvlText w:val="-"/>
      <w:lvlJc w:val="left"/>
      <w:pPr>
        <w:ind w:left="720" w:hanging="360"/>
      </w:pPr>
      <w:rPr>
        <w:rFonts w:ascii="Times New Roman" w:eastAsia="Times New Roman" w:hAnsi="Times New Roman" w:cs="Times New Roman" w:hint="default"/>
      </w:rPr>
    </w:lvl>
    <w:lvl w:ilvl="1" w:tplc="E7D68F60">
      <w:start w:val="1"/>
      <w:numFmt w:val="bullet"/>
      <w:lvlText w:val="o"/>
      <w:lvlJc w:val="left"/>
      <w:pPr>
        <w:ind w:left="1440" w:hanging="360"/>
      </w:pPr>
      <w:rPr>
        <w:rFonts w:ascii="Courier New" w:hAnsi="Courier New" w:cs="Courier New" w:hint="default"/>
      </w:rPr>
    </w:lvl>
    <w:lvl w:ilvl="2" w:tplc="EE38773A">
      <w:start w:val="1"/>
      <w:numFmt w:val="bullet"/>
      <w:lvlText w:val=""/>
      <w:lvlJc w:val="left"/>
      <w:pPr>
        <w:ind w:left="2160" w:hanging="360"/>
      </w:pPr>
      <w:rPr>
        <w:rFonts w:ascii="Wingdings" w:hAnsi="Wingdings" w:hint="default"/>
      </w:rPr>
    </w:lvl>
    <w:lvl w:ilvl="3" w:tplc="8E4ED1B4">
      <w:start w:val="1"/>
      <w:numFmt w:val="bullet"/>
      <w:lvlText w:val=""/>
      <w:lvlJc w:val="left"/>
      <w:pPr>
        <w:ind w:left="2880" w:hanging="360"/>
      </w:pPr>
      <w:rPr>
        <w:rFonts w:ascii="Symbol" w:hAnsi="Symbol" w:hint="default"/>
      </w:rPr>
    </w:lvl>
    <w:lvl w:ilvl="4" w:tplc="780E1A38">
      <w:start w:val="1"/>
      <w:numFmt w:val="bullet"/>
      <w:lvlText w:val="o"/>
      <w:lvlJc w:val="left"/>
      <w:pPr>
        <w:ind w:left="3600" w:hanging="360"/>
      </w:pPr>
      <w:rPr>
        <w:rFonts w:ascii="Courier New" w:hAnsi="Courier New" w:cs="Courier New" w:hint="default"/>
      </w:rPr>
    </w:lvl>
    <w:lvl w:ilvl="5" w:tplc="369EC1C2">
      <w:start w:val="1"/>
      <w:numFmt w:val="bullet"/>
      <w:lvlText w:val=""/>
      <w:lvlJc w:val="left"/>
      <w:pPr>
        <w:ind w:left="4320" w:hanging="360"/>
      </w:pPr>
      <w:rPr>
        <w:rFonts w:ascii="Wingdings" w:hAnsi="Wingdings" w:hint="default"/>
      </w:rPr>
    </w:lvl>
    <w:lvl w:ilvl="6" w:tplc="EB68977E">
      <w:start w:val="1"/>
      <w:numFmt w:val="bullet"/>
      <w:lvlText w:val=""/>
      <w:lvlJc w:val="left"/>
      <w:pPr>
        <w:ind w:left="5040" w:hanging="360"/>
      </w:pPr>
      <w:rPr>
        <w:rFonts w:ascii="Symbol" w:hAnsi="Symbol" w:hint="default"/>
      </w:rPr>
    </w:lvl>
    <w:lvl w:ilvl="7" w:tplc="48C891B4">
      <w:start w:val="1"/>
      <w:numFmt w:val="bullet"/>
      <w:lvlText w:val="o"/>
      <w:lvlJc w:val="left"/>
      <w:pPr>
        <w:ind w:left="5760" w:hanging="360"/>
      </w:pPr>
      <w:rPr>
        <w:rFonts w:ascii="Courier New" w:hAnsi="Courier New" w:cs="Courier New" w:hint="default"/>
      </w:rPr>
    </w:lvl>
    <w:lvl w:ilvl="8" w:tplc="3BCC5A70">
      <w:start w:val="1"/>
      <w:numFmt w:val="bullet"/>
      <w:lvlText w:val=""/>
      <w:lvlJc w:val="left"/>
      <w:pPr>
        <w:ind w:left="6480" w:hanging="360"/>
      </w:pPr>
      <w:rPr>
        <w:rFonts w:ascii="Wingdings" w:hAnsi="Wingdings" w:hint="default"/>
      </w:rPr>
    </w:lvl>
  </w:abstractNum>
  <w:abstractNum w:abstractNumId="14"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5"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3"/>
  </w:num>
  <w:num w:numId="4">
    <w:abstractNumId w:val="13"/>
  </w:num>
  <w:num w:numId="5">
    <w:abstractNumId w:val="11"/>
  </w:num>
  <w:num w:numId="6">
    <w:abstractNumId w:val="0"/>
  </w:num>
  <w:num w:numId="7">
    <w:abstractNumId w:val="8"/>
  </w:num>
  <w:num w:numId="8">
    <w:abstractNumId w:val="17"/>
  </w:num>
  <w:num w:numId="9">
    <w:abstractNumId w:val="16"/>
  </w:num>
  <w:num w:numId="10">
    <w:abstractNumId w:val="2"/>
  </w:num>
  <w:num w:numId="11">
    <w:abstractNumId w:val="18"/>
  </w:num>
  <w:num w:numId="12">
    <w:abstractNumId w:val="12"/>
  </w:num>
  <w:num w:numId="13">
    <w:abstractNumId w:val="21"/>
  </w:num>
  <w:num w:numId="14">
    <w:abstractNumId w:val="6"/>
  </w:num>
  <w:num w:numId="15">
    <w:abstractNumId w:val="10"/>
  </w:num>
  <w:num w:numId="16">
    <w:abstractNumId w:val="14"/>
  </w:num>
  <w:num w:numId="17">
    <w:abstractNumId w:val="20"/>
  </w:num>
  <w:num w:numId="18">
    <w:abstractNumId w:val="19"/>
  </w:num>
  <w:num w:numId="19">
    <w:abstractNumId w:val="5"/>
  </w:num>
  <w:num w:numId="20">
    <w:abstractNumId w:val="4"/>
  </w:num>
  <w:num w:numId="21">
    <w:abstractNumId w:val="1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tbSwNLc0NzI2MDBT0lEKTi0uzszPAymwqAUAljmrwCwAAAA="/>
  </w:docVars>
  <w:rsids>
    <w:rsidRoot w:val="00282213"/>
    <w:rsid w:val="00000265"/>
    <w:rsid w:val="00004165"/>
    <w:rsid w:val="000138AE"/>
    <w:rsid w:val="00017670"/>
    <w:rsid w:val="00020C56"/>
    <w:rsid w:val="00026ACC"/>
    <w:rsid w:val="0003171D"/>
    <w:rsid w:val="00031C1D"/>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1EC"/>
    <w:rsid w:val="001E0A28"/>
    <w:rsid w:val="001E10B3"/>
    <w:rsid w:val="001E365C"/>
    <w:rsid w:val="001E4218"/>
    <w:rsid w:val="001E4444"/>
    <w:rsid w:val="001F0B20"/>
    <w:rsid w:val="00200A62"/>
    <w:rsid w:val="00203740"/>
    <w:rsid w:val="002138EA"/>
    <w:rsid w:val="00213F84"/>
    <w:rsid w:val="00214FBD"/>
    <w:rsid w:val="0021628A"/>
    <w:rsid w:val="002225DD"/>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2CE9"/>
    <w:rsid w:val="002E3BF7"/>
    <w:rsid w:val="002E403E"/>
    <w:rsid w:val="002F158C"/>
    <w:rsid w:val="002F2C22"/>
    <w:rsid w:val="002F4093"/>
    <w:rsid w:val="002F5636"/>
    <w:rsid w:val="002F6092"/>
    <w:rsid w:val="002F65CB"/>
    <w:rsid w:val="002F73BD"/>
    <w:rsid w:val="002F7647"/>
    <w:rsid w:val="003022A5"/>
    <w:rsid w:val="003023E8"/>
    <w:rsid w:val="00307E51"/>
    <w:rsid w:val="00311363"/>
    <w:rsid w:val="00312C81"/>
    <w:rsid w:val="00315867"/>
    <w:rsid w:val="00316348"/>
    <w:rsid w:val="00321150"/>
    <w:rsid w:val="003228A6"/>
    <w:rsid w:val="00322CE8"/>
    <w:rsid w:val="003260D7"/>
    <w:rsid w:val="00326425"/>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2003"/>
    <w:rsid w:val="003E3D01"/>
    <w:rsid w:val="003E3E38"/>
    <w:rsid w:val="003E40EE"/>
    <w:rsid w:val="003E501E"/>
    <w:rsid w:val="003E7AB0"/>
    <w:rsid w:val="003E7C04"/>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2B54"/>
    <w:rsid w:val="004C7DC8"/>
    <w:rsid w:val="004D52C3"/>
    <w:rsid w:val="004D737D"/>
    <w:rsid w:val="004E2659"/>
    <w:rsid w:val="004E39EE"/>
    <w:rsid w:val="004E475C"/>
    <w:rsid w:val="004E5152"/>
    <w:rsid w:val="004E56E0"/>
    <w:rsid w:val="004E689C"/>
    <w:rsid w:val="004E7329"/>
    <w:rsid w:val="004F2CB0"/>
    <w:rsid w:val="004F31E9"/>
    <w:rsid w:val="004F613B"/>
    <w:rsid w:val="004F6342"/>
    <w:rsid w:val="005017F7"/>
    <w:rsid w:val="00501FA7"/>
    <w:rsid w:val="005034DC"/>
    <w:rsid w:val="00504688"/>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07CC"/>
    <w:rsid w:val="00553965"/>
    <w:rsid w:val="00554AA7"/>
    <w:rsid w:val="00562D5B"/>
    <w:rsid w:val="00564E25"/>
    <w:rsid w:val="005667EF"/>
    <w:rsid w:val="00570E7B"/>
    <w:rsid w:val="00571777"/>
    <w:rsid w:val="00574C59"/>
    <w:rsid w:val="00580FF5"/>
    <w:rsid w:val="0058348E"/>
    <w:rsid w:val="0058519C"/>
    <w:rsid w:val="00586242"/>
    <w:rsid w:val="0059149A"/>
    <w:rsid w:val="005956EE"/>
    <w:rsid w:val="005A083E"/>
    <w:rsid w:val="005A0C62"/>
    <w:rsid w:val="005A0EEE"/>
    <w:rsid w:val="005A5F53"/>
    <w:rsid w:val="005B0175"/>
    <w:rsid w:val="005B4802"/>
    <w:rsid w:val="005B51E8"/>
    <w:rsid w:val="005C1EA6"/>
    <w:rsid w:val="005C4399"/>
    <w:rsid w:val="005C5F6D"/>
    <w:rsid w:val="005D0A17"/>
    <w:rsid w:val="005D0B99"/>
    <w:rsid w:val="005D12FF"/>
    <w:rsid w:val="005D2345"/>
    <w:rsid w:val="005D308E"/>
    <w:rsid w:val="005D3A48"/>
    <w:rsid w:val="005D7AF8"/>
    <w:rsid w:val="005E366A"/>
    <w:rsid w:val="005E6457"/>
    <w:rsid w:val="005F0E3F"/>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41E1"/>
    <w:rsid w:val="00695D85"/>
    <w:rsid w:val="006A30A2"/>
    <w:rsid w:val="006A6D23"/>
    <w:rsid w:val="006B25DE"/>
    <w:rsid w:val="006B79DA"/>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034"/>
    <w:rsid w:val="0070646B"/>
    <w:rsid w:val="007107B7"/>
    <w:rsid w:val="007110AC"/>
    <w:rsid w:val="007130A2"/>
    <w:rsid w:val="00715463"/>
    <w:rsid w:val="00727016"/>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6D0B"/>
    <w:rsid w:val="007E7062"/>
    <w:rsid w:val="007F057D"/>
    <w:rsid w:val="007F0873"/>
    <w:rsid w:val="007F0E1E"/>
    <w:rsid w:val="007F29A7"/>
    <w:rsid w:val="007F7A5A"/>
    <w:rsid w:val="00805BE8"/>
    <w:rsid w:val="00806C90"/>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488"/>
    <w:rsid w:val="00893987"/>
    <w:rsid w:val="008963EF"/>
    <w:rsid w:val="0089688E"/>
    <w:rsid w:val="00897C55"/>
    <w:rsid w:val="008A09A0"/>
    <w:rsid w:val="008A1FBE"/>
    <w:rsid w:val="008B3194"/>
    <w:rsid w:val="008B5AE7"/>
    <w:rsid w:val="008C0AED"/>
    <w:rsid w:val="008C247E"/>
    <w:rsid w:val="008C320D"/>
    <w:rsid w:val="008C406A"/>
    <w:rsid w:val="008C60E9"/>
    <w:rsid w:val="008D14AD"/>
    <w:rsid w:val="008D1B7C"/>
    <w:rsid w:val="008D5375"/>
    <w:rsid w:val="008D5738"/>
    <w:rsid w:val="008D6657"/>
    <w:rsid w:val="008E11C2"/>
    <w:rsid w:val="008E1F60"/>
    <w:rsid w:val="008E252E"/>
    <w:rsid w:val="008E307E"/>
    <w:rsid w:val="008E5EA2"/>
    <w:rsid w:val="008F4C46"/>
    <w:rsid w:val="008F4DD1"/>
    <w:rsid w:val="008F5CAB"/>
    <w:rsid w:val="008F6056"/>
    <w:rsid w:val="00902C07"/>
    <w:rsid w:val="00904574"/>
    <w:rsid w:val="00905804"/>
    <w:rsid w:val="009101E2"/>
    <w:rsid w:val="00913CCE"/>
    <w:rsid w:val="00915D73"/>
    <w:rsid w:val="00916077"/>
    <w:rsid w:val="009170A2"/>
    <w:rsid w:val="009208A6"/>
    <w:rsid w:val="00924514"/>
    <w:rsid w:val="00927316"/>
    <w:rsid w:val="0093276D"/>
    <w:rsid w:val="00933174"/>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A7EAA"/>
    <w:rsid w:val="009B1DF8"/>
    <w:rsid w:val="009B3D20"/>
    <w:rsid w:val="009B5418"/>
    <w:rsid w:val="009B57D2"/>
    <w:rsid w:val="009B5C0C"/>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3DDA"/>
    <w:rsid w:val="009F4586"/>
    <w:rsid w:val="009F5607"/>
    <w:rsid w:val="00A0307E"/>
    <w:rsid w:val="00A0758F"/>
    <w:rsid w:val="00A1570A"/>
    <w:rsid w:val="00A211B4"/>
    <w:rsid w:val="00A215F9"/>
    <w:rsid w:val="00A22BD2"/>
    <w:rsid w:val="00A235FE"/>
    <w:rsid w:val="00A33DDF"/>
    <w:rsid w:val="00A34547"/>
    <w:rsid w:val="00A35744"/>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172"/>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3A40"/>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31AE"/>
    <w:rsid w:val="00B833A3"/>
    <w:rsid w:val="00B8446C"/>
    <w:rsid w:val="00B87725"/>
    <w:rsid w:val="00B92A15"/>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66F60"/>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C6D"/>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2812"/>
    <w:rsid w:val="00D236F0"/>
    <w:rsid w:val="00D23F16"/>
    <w:rsid w:val="00D24E9B"/>
    <w:rsid w:val="00D26534"/>
    <w:rsid w:val="00D3188C"/>
    <w:rsid w:val="00D35F9B"/>
    <w:rsid w:val="00D36B69"/>
    <w:rsid w:val="00D408DD"/>
    <w:rsid w:val="00D41A82"/>
    <w:rsid w:val="00D45D72"/>
    <w:rsid w:val="00D50F47"/>
    <w:rsid w:val="00D520E4"/>
    <w:rsid w:val="00D538CC"/>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21D6"/>
    <w:rsid w:val="00DA3A86"/>
    <w:rsid w:val="00DA7FB9"/>
    <w:rsid w:val="00DB04C0"/>
    <w:rsid w:val="00DB3EE1"/>
    <w:rsid w:val="00DB76A9"/>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5F54"/>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B72"/>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96BD9"/>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00FF7A10"/>
    <w:rsid w:val="14FE1CF4"/>
    <w:rsid w:val="1F4B62A1"/>
    <w:rsid w:val="3D24ADE7"/>
    <w:rsid w:val="4336EFE4"/>
    <w:rsid w:val="43D767B2"/>
    <w:rsid w:val="4C9CB026"/>
    <w:rsid w:val="567567DF"/>
    <w:rsid w:val="77F9B1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2D6F1CE"/>
  <w15:docId w15:val="{C084E591-E27A-400C-A83A-D8A1E18B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paragraph" w:styleId="Revision">
    <w:name w:val="Revision"/>
    <w:hidden/>
    <w:uiPriority w:val="99"/>
    <w:unhideWhenUsed/>
    <w:rsid w:val="00F96B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5AIRPNAIUNRU-1830940522-8900</_dlc_DocId>
    <_dlc_DocIdUrl xmlns="71c5aaf6-e6ce-465b-b873-5148d2a4c105">
      <Url>https://nokia.sharepoint.com/sites/c5g/5gradio/_layouts/15/DocIdRedir.aspx?ID=5AIRPNAIUNRU-1830940522-8900</Url>
      <Description>5AIRPNAIUNRU-1830940522-8900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DD1A-26CC-469E-A90B-08781DE44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C7646B1-6709-4E0D-A2EF-F9800AE404D5}">
  <ds:schemaRefs>
    <ds:schemaRef ds:uri="http://schemas.microsoft.com/sharepoint/events"/>
  </ds:schemaRefs>
</ds:datastoreItem>
</file>

<file path=customXml/itemProps4.xml><?xml version="1.0" encoding="utf-8"?>
<ds:datastoreItem xmlns:ds="http://schemas.openxmlformats.org/officeDocument/2006/customXml" ds:itemID="{27ED8E97-CF01-4DAC-8336-464C847ECE97}">
  <ds:schemaRefs>
    <ds:schemaRef ds:uri="Microsoft.SharePoint.Taxonomy.ContentTypeSync"/>
  </ds:schemaRefs>
</ds:datastoreItem>
</file>

<file path=customXml/itemProps5.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7.xml><?xml version="1.0" encoding="utf-8"?>
<ds:datastoreItem xmlns:ds="http://schemas.openxmlformats.org/officeDocument/2006/customXml" ds:itemID="{6F1AA170-546B-4B6C-8548-E1998275A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1596</Words>
  <Characters>9100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Nokia</cp:lastModifiedBy>
  <cp:revision>52</cp:revision>
  <cp:lastPrinted>2019-04-25T01:09:00Z</cp:lastPrinted>
  <dcterms:created xsi:type="dcterms:W3CDTF">2020-10-12T10:07:00Z</dcterms:created>
  <dcterms:modified xsi:type="dcterms:W3CDTF">2020-10-23T11:35:00Z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0x010100F72F5225BF40E546BD513D0BB4BDDD33</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_dlc_DocIdItemGuid">
    <vt:lpwstr>a6928678-f93c-46b2-b4ed-615edce27f0c</vt:lpwstr>
  </property>
</Properties>
</file>